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2400"/>
        <w:jc w:val="center"/>
      </w:pPr>
      <w:r>
        <w:rPr>
          <w:rFonts w:ascii="Georgia" w:cs="Georgia" w:eastAsia="Georgia" w:hAnsi="Georgia"/>
          <w:b/>
          <w:bCs/>
          <w:sz w:val="64"/>
          <w:szCs w:val="64"/>
        </w:rPr>
        <w:t xml:space="preserve">ASOM-Fed</w:t>
      </w:r>
    </w:p>
    <w:p>
      <w:pPr>
        <w:spacing w:after="300" w:before="130"/>
        <w:jc w:val="center"/>
      </w:pPr>
      <w:r>
        <w:rPr>
          <w:rFonts w:ascii="Georgia" w:cs="Georgia" w:eastAsia="Georgia" w:hAnsi="Georgia"/>
          <w:sz w:val="38"/>
          <w:szCs w:val="38"/>
        </w:rPr>
        <w:t xml:space="preserve">Reverse Coverage Analysis</w:t>
      </w:r>
    </w:p>
    <w:p>
      <w:pPr>
        <w:spacing w:after="440" w:line="278"/>
        <w:jc w:val="center"/>
      </w:pPr>
      <w:r>
        <w:rPr>
          <w:rFonts w:ascii="Georgia" w:cs="Georgia" w:eastAsia="Georgia" w:hAnsi="Georgia"/>
          <w:i/>
          <w:iCs/>
          <w:sz w:val="21"/>
          <w:szCs w:val="21"/>
        </w:rPr>
        <w:t xml:space="preserve">Which referenced outcomes have no control pointing at them, and why</w:t>
      </w:r>
    </w:p>
    <w:p>
      <w:pPr>
        <w:spacing w:after="110" w:line="278"/>
        <w:jc w:val="center"/>
      </w:pPr>
      <w:r>
        <w:rPr>
          <w:rFonts w:ascii="Georgia" w:cs="Georgia" w:eastAsia="Georgia" w:hAnsi="Georgia"/>
          <w:sz w:val="19"/>
          <w:szCs w:val="19"/>
        </w:rPr>
        <w:t xml:space="preserve">Version 6.1 · Unclassified / Illustrative · agency-agnostic reference framework</w:t>
      </w:r>
    </w:p>
    <w:p>
      <w:pPr>
        <w:spacing w:after="130" w:line="278"/>
        <w:jc w:val="center"/>
      </w:pPr>
      <w:r>
        <w:rPr>
          <w:rFonts w:ascii="Georgia" w:cs="Georgia" w:eastAsia="Georgia" w:hAnsi="Georgia"/>
          <w:color w:val="777777"/>
          <w:sz w:val="16"/>
          <w:szCs w:val="16"/>
        </w:rPr>
        <w:t xml:space="preserve">Generated from the ASOM-Fed control catalog by build tooling. Not hand-maintained.</w:t>
      </w:r>
    </w:p>
    <w:p>
      <w:r>
        <w:br w:type="page"/>
      </w:r>
    </w:p>
    <w:p>
      <w:pPr>
        <w:pStyle w:val="Heading1"/>
        <w:spacing w:after="150"/>
      </w:pPr>
      <w:r>
        <w:rPr>
          <w:rFonts w:ascii="Georgia" w:cs="Georgia" w:eastAsia="Georgia" w:hAnsi="Georgia"/>
          <w:b/>
          <w:bCs/>
        </w:rPr>
        <w:t xml:space="preserve">Contents</w:t>
      </w:r>
    </w:p>
    <w:sdt>
      <w:sdtPr>
        <w:alias w:val="Contents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r>
        <w:br w:type="page"/>
      </w:r>
    </w:p>
    <w:p>
      <w:pPr>
        <w:spacing w:after="130" w:line="278"/>
      </w:pPr>
      <w:r>
        <w:rPr>
          <w:rFonts w:ascii="Georgia" w:cs="Georgia" w:eastAsia="Georgia" w:hAnsi="Georgia"/>
          <w:b/>
          <w:bCs/>
          <w:sz w:val="21"/>
          <w:szCs w:val="21"/>
        </w:rPr>
        <w:t xml:space="preserve">Generated from `coverage.py` against `references.json` and the v4.0 catalog.</w:t>
      </w:r>
    </w:p>
    <w:p>
      <w:pPr>
        <w:spacing w:after="130" w:line="278"/>
      </w:pPr>
      <w:r>
        <w:rPr>
          <w:rFonts w:ascii="Consolas" w:cs="Consolas" w:eastAsia="Consolas" w:hAnsi="Consolas"/>
          <w:sz w:val="19"/>
          <w:szCs w:val="19"/>
        </w:rPr>
        <w:t xml:space="preserve">build.py</w:t>
      </w:r>
      <w:r>
        <w:rPr>
          <w:rFonts w:ascii="Georgia" w:cs="Georgia" w:eastAsia="Georgia" w:hAnsi="Georgia"/>
          <w:sz w:val="21"/>
          <w:szCs w:val="21"/>
        </w:rPr>
        <w:t xml:space="preserve"> validates the forward direction: every ASOM-Fed control carries mappings. This document covers the reverse: which referenced outcomes have </w:t>
      </w:r>
      <w:r>
        <w:rPr>
          <w:rFonts w:ascii="Georgia" w:cs="Georgia" w:eastAsia="Georgia" w:hAnsi="Georgia"/>
          <w:b/>
          <w:bCs/>
          <w:sz w:val="21"/>
          <w:szCs w:val="21"/>
        </w:rPr>
        <w:t xml:space="preserve">no ASOM-Fed control pointing at them</w:t>
      </w:r>
      <w:r>
        <w:rPr>
          <w:rFonts w:ascii="Georgia" w:cs="Georgia" w:eastAsia="Georgia" w:hAnsi="Georgia"/>
          <w:sz w:val="21"/>
          <w:szCs w:val="21"/>
        </w:rPr>
        <w:t xml:space="preserve">.</w:t>
      </w:r>
    </w:p>
    <w:p>
      <w:pPr>
        <w:pBdr>
          <w:bottom w:val="single" w:color="BFBFBF" w:sz="6"/>
        </w:pBdr>
        <w:spacing w:after="200" w:before="100"/>
      </w:pPr>
      <w:r>
        <w:rPr>
          <w:sz w:val="2"/>
          <w:szCs w:val="2"/>
        </w:rPr>
        <w:t xml:space="preserve"/>
      </w:r>
    </w:p>
    <w:p>
      <w:pPr>
        <w:pStyle w:val="Heading2"/>
        <w:spacing w:after="150" w:before="300"/>
      </w:pPr>
      <w:r>
        <w:rPr>
          <w:rFonts w:ascii="Georgia" w:cs="Georgia" w:eastAsia="Georgia" w:hAnsi="Georgia"/>
          <w:b/>
          <w:bCs/>
        </w:rPr>
        <w:t xml:space="preserve">0. The three references need different answers</w:t>
      </w:r>
    </w:p>
    <w:p>
      <w:pPr>
        <w:spacing w:after="130" w:line="278"/>
      </w:pPr>
      <w:r>
        <w:rPr>
          <w:rFonts w:ascii="Georgia" w:cs="Georgia" w:eastAsia="Georgia" w:hAnsi="Georgia"/>
          <w:sz w:val="21"/>
          <w:szCs w:val="21"/>
        </w:rPr>
        <w:t xml:space="preserve">The proposition "we should have a control for every outcome" is right for one reference, right at one level for a second, and would break the framework if applied to the third.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6"/>
        <w:gridCol w:w="2415"/>
        <w:gridCol w:w="6039"/>
      </w:tblGrid>
      <w:tr>
        <w:trPr>
          <w:tblHeader/>
        </w:trPr>
        <w:tc>
          <w:tcPr>
            <w:tcW w:type="dxa" w:w="906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Reference</w:t>
            </w:r>
          </w:p>
        </w:tc>
        <w:tc>
          <w:tcPr>
            <w:tcW w:type="dxa" w:w="2415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Reverse coverage a goal?</w:t>
            </w:r>
          </w:p>
        </w:tc>
        <w:tc>
          <w:tcPr>
            <w:tcW w:type="dxa" w:w="6039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Why</w:t>
            </w:r>
          </w:p>
        </w:tc>
      </w:tr>
      <w:tr>
        <w:tc>
          <w:tcPr>
            <w:tcW w:type="dxa" w:w="90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CSF 2.0</w:t>
            </w:r>
          </w:p>
        </w:tc>
        <w:tc>
          <w:tcPr>
            <w:tcW w:type="dxa" w:w="241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Yes</w:t>
            </w:r>
          </w:p>
        </w:tc>
        <w:tc>
          <w:tcPr>
            <w:tcW w:type="dxa" w:w="6039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106 outcome-level subcategories. Reverse coverage is a legitimate completeness claim and every gap should be a recorded decision.</w:t>
            </w:r>
          </w:p>
        </w:tc>
      </w:tr>
      <w:tr>
        <w:tc>
          <w:tcPr>
            <w:tcW w:type="dxa" w:w="90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D3FEND</w:t>
            </w:r>
          </w:p>
        </w:tc>
        <w:tc>
          <w:tcPr>
            <w:tcW w:type="dxa" w:w="241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At tactic level only</w:t>
            </w:r>
          </w:p>
        </w:tc>
        <w:tc>
          <w:tcPr>
            <w:tcW w:type="dxa" w:w="6039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7 tactics — reverse coverage is meaningful. Technique level is not: D3FEND holds hundreds of countermeasures, and mapping each would make ASOM-Fed a countermeasure ontology with different labels rather than a planning model.</w:t>
            </w:r>
          </w:p>
        </w:tc>
      </w:tr>
      <w:tr>
        <w:tc>
          <w:tcPr>
            <w:tcW w:type="dxa" w:w="90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SP 800-53</w:t>
            </w:r>
          </w:p>
        </w:tc>
        <w:tc>
          <w:tcPr>
            <w:tcW w:type="dxa" w:w="241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No — and pursuing it would break the framework</w:t>
            </w:r>
          </w:p>
        </w:tc>
        <w:tc>
          <w:tcPr>
            <w:tcW w:type="dxa" w:w="6039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~1,196 controls that ASOM-Fed explicitly </w:t>
            </w:r>
            <w:r>
              <w:rPr>
                <w:rFonts w:ascii="Georgia" w:cs="Georgia" w:eastAsia="Georgia" w:hAnsi="Georgia"/>
                <w:i/>
                <w:iCs/>
                <w:sz w:val="18"/>
                <w:szCs w:val="18"/>
              </w:rPr>
              <w:t xml:space="preserve">inherits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rather than duplicates.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CG-5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exists solely to prevent duplicate assessment, and the design documentation states that a framework creating a parallel compliance burden will not be adopted. Family </w:t>
            </w:r>
            <w:r>
              <w:rPr>
                <w:rFonts w:ascii="Georgia" w:cs="Georgia" w:eastAsia="Georgia" w:hAnsi="Georgia"/>
                <w:i/>
                <w:iCs/>
                <w:sz w:val="18"/>
                <w:szCs w:val="18"/>
              </w:rPr>
              <w:t xml:space="preserve">reach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(20/20) is the right measure here, not control-level reverse coverage.</w:t>
            </w:r>
          </w:p>
        </w:tc>
      </w:tr>
    </w:tbl>
    <w:p>
      <w:pPr>
        <w:spacing w:after="90" w:line="278"/>
      </w:pPr>
      <w:r>
        <w:rPr>
          <w:rFonts w:ascii="Georgia" w:cs="Georgia" w:eastAsia="Georgia" w:hAnsi="Georgia"/>
          <w:sz w:val="21"/>
          <w:szCs w:val="21"/>
        </w:rPr>
        <w:t xml:space="preserve"/>
      </w:r>
    </w:p>
    <w:p>
      <w:pPr>
        <w:pBdr>
          <w:bottom w:val="single" w:color="BFBFBF" w:sz="6"/>
        </w:pBdr>
        <w:spacing w:after="200" w:before="100"/>
      </w:pPr>
      <w:r>
        <w:rPr>
          <w:sz w:val="2"/>
          <w:szCs w:val="2"/>
        </w:rPr>
        <w:t xml:space="preserve"/>
      </w:r>
    </w:p>
    <w:p>
      <w:pPr>
        <w:pStyle w:val="Heading2"/>
        <w:spacing w:after="150" w:before="300"/>
      </w:pPr>
      <w:r>
        <w:rPr>
          <w:rFonts w:ascii="Georgia" w:cs="Georgia" w:eastAsia="Georgia" w:hAnsi="Georgia"/>
          <w:b/>
          <w:bCs/>
        </w:rPr>
        <w:t xml:space="preserve">1. Two invalid identifiers — corrected</w:t>
      </w:r>
    </w:p>
    <w:p>
      <w:pPr>
        <w:spacing w:after="130" w:line="278"/>
      </w:pPr>
      <w:r>
        <w:rPr>
          <w:rFonts w:ascii="Georgia" w:cs="Georgia" w:eastAsia="Georgia" w:hAnsi="Georgia"/>
          <w:sz w:val="21"/>
          <w:szCs w:val="21"/>
        </w:rPr>
        <w:t xml:space="preserve">Both were inherited from the published v3.0 catalog and both cite </w:t>
      </w:r>
      <w:r>
        <w:rPr>
          <w:rFonts w:ascii="Georgia" w:cs="Georgia" w:eastAsia="Georgia" w:hAnsi="Georgia"/>
          <w:b/>
          <w:bCs/>
          <w:sz w:val="21"/>
          <w:szCs w:val="21"/>
        </w:rPr>
        <w:t xml:space="preserve">retired CSF 1.1 identifiers in a CSF 2.0 mapping</w:t>
      </w:r>
      <w:r>
        <w:rPr>
          <w:rFonts w:ascii="Georgia" w:cs="Georgia" w:eastAsia="Georgia" w:hAnsi="Georgia"/>
          <w:sz w:val="21"/>
          <w:szCs w:val="21"/>
        </w:rPr>
        <w:t xml:space="preserve">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36"/>
        <w:gridCol w:w="1413"/>
        <w:gridCol w:w="5298"/>
        <w:gridCol w:w="1413"/>
      </w:tblGrid>
      <w:tr>
        <w:trPr>
          <w:tblHeader/>
        </w:trPr>
        <w:tc>
          <w:tcPr>
            <w:tcW w:type="dxa" w:w="1236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Control</w:t>
            </w:r>
          </w:p>
        </w:tc>
        <w:tc>
          <w:tcPr>
            <w:tcW w:type="dxa" w:w="1413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Was</w:t>
            </w:r>
          </w:p>
        </w:tc>
        <w:tc>
          <w:tcPr>
            <w:tcW w:type="dxa" w:w="5298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Problem</w:t>
            </w:r>
          </w:p>
        </w:tc>
        <w:tc>
          <w:tcPr>
            <w:tcW w:type="dxa" w:w="1413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Now</w:t>
            </w:r>
          </w:p>
        </w:tc>
      </w:tr>
      <w:tr>
        <w:tc>
          <w:tcPr>
            <w:tcW w:type="dxa" w:w="123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RC-1</w:t>
            </w:r>
          </w:p>
        </w:tc>
        <w:tc>
          <w:tcPr>
            <w:tcW w:type="dxa" w:w="141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ID.BE-05</w:t>
            </w:r>
          </w:p>
        </w:tc>
        <w:tc>
          <w:tcPr>
            <w:tcW w:type="dxa" w:w="529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ID.BE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Business Environment does not exist in CSF 2.0; the category was absorbed into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GV.OC</w:t>
            </w:r>
          </w:p>
        </w:tc>
        <w:tc>
          <w:tcPr>
            <w:tcW w:type="dxa" w:w="141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GV.OC-04</w:t>
            </w:r>
          </w:p>
        </w:tc>
      </w:tr>
      <w:tr>
        <w:tc>
          <w:tcPr>
            <w:tcW w:type="dxa" w:w="123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RC-4</w:t>
            </w:r>
          </w:p>
        </w:tc>
        <w:tc>
          <w:tcPr>
            <w:tcW w:type="dxa" w:w="141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PR.DS-06</w:t>
            </w:r>
          </w:p>
        </w:tc>
        <w:tc>
          <w:tcPr>
            <w:tcW w:type="dxa" w:w="529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Retired in CSF 2.0;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PR.DS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retains only 01, 02, 10, 11</w:t>
            </w:r>
          </w:p>
        </w:tc>
        <w:tc>
          <w:tcPr>
            <w:tcW w:type="dxa" w:w="141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RC.RP-03</w:t>
            </w:r>
          </w:p>
        </w:tc>
      </w:tr>
    </w:tbl>
    <w:p>
      <w:pPr>
        <w:spacing w:after="90" w:line="278"/>
      </w:pPr>
      <w:r>
        <w:rPr>
          <w:rFonts w:ascii="Georgia" w:cs="Georgia" w:eastAsia="Georgia" w:hAnsi="Georgia"/>
          <w:sz w:val="21"/>
          <w:szCs w:val="21"/>
        </w:rPr>
        <w:t xml:space="preserve"/>
      </w:r>
    </w:p>
    <w:p>
      <w:pPr>
        <w:spacing w:after="130" w:line="278"/>
      </w:pPr>
      <w:r>
        <w:rPr>
          <w:rFonts w:ascii="Georgia" w:cs="Georgia" w:eastAsia="Georgia" w:hAnsi="Georgia"/>
          <w:sz w:val="21"/>
          <w:szCs w:val="21"/>
        </w:rPr>
        <w:t xml:space="preserve">The </w:t>
      </w:r>
      <w:r>
        <w:rPr>
          <w:rFonts w:ascii="Consolas" w:cs="Consolas" w:eastAsia="Consolas" w:hAnsi="Consolas"/>
          <w:sz w:val="19"/>
          <w:szCs w:val="19"/>
        </w:rPr>
        <w:t xml:space="preserve">RC-4</w:t>
      </w:r>
      <w:r>
        <w:rPr>
          <w:rFonts w:ascii="Georgia" w:cs="Georgia" w:eastAsia="Georgia" w:hAnsi="Georgia"/>
          <w:sz w:val="21"/>
          <w:szCs w:val="21"/>
        </w:rPr>
        <w:t xml:space="preserve"> correction is doubly useful: </w:t>
      </w:r>
      <w:r>
        <w:rPr>
          <w:rFonts w:ascii="Consolas" w:cs="Consolas" w:eastAsia="Consolas" w:hAnsi="Consolas"/>
          <w:sz w:val="19"/>
          <w:szCs w:val="19"/>
        </w:rPr>
        <w:t xml:space="preserve">RC.RP-03</w:t>
      </w:r>
      <w:r>
        <w:rPr>
          <w:rFonts w:ascii="Georgia" w:cs="Georgia" w:eastAsia="Georgia" w:hAnsi="Georgia"/>
          <w:sz w:val="21"/>
          <w:szCs w:val="21"/>
        </w:rPr>
        <w:t xml:space="preserve"> is </w:t>
      </w:r>
      <w:r>
        <w:rPr>
          <w:rFonts w:ascii="Georgia" w:cs="Georgia" w:eastAsia="Georgia" w:hAnsi="Georgia"/>
          <w:i/>
          <w:iCs/>
          <w:sz w:val="21"/>
          <w:szCs w:val="21"/>
        </w:rPr>
        <w:t xml:space="preserve">integrity of restoration assets verified before use</w:t>
      </w:r>
      <w:r>
        <w:rPr>
          <w:rFonts w:ascii="Georgia" w:cs="Georgia" w:eastAsia="Georgia" w:hAnsi="Georgia"/>
          <w:sz w:val="21"/>
          <w:szCs w:val="21"/>
        </w:rPr>
        <w:t xml:space="preserve">, which is precisely that control's subject, so the fix simultaneously closes an uncovered subcategory.</w:t>
      </w:r>
    </w:p>
    <w:p>
      <w:pPr>
        <w:spacing w:after="130" w:line="278"/>
      </w:pPr>
      <w:r>
        <w:rPr>
          <w:rFonts w:ascii="Georgia" w:cs="Georgia" w:eastAsia="Georgia" w:hAnsi="Georgia"/>
          <w:b/>
          <w:bCs/>
          <w:sz w:val="21"/>
          <w:szCs w:val="21"/>
        </w:rPr>
        <w:t xml:space="preserve">These are live defects in the shipped v3.0 CSV and DOCX.</w:t>
      </w:r>
      <w:r>
        <w:rPr>
          <w:rFonts w:ascii="Georgia" w:cs="Georgia" w:eastAsia="Georgia" w:hAnsi="Georgia"/>
          <w:sz w:val="21"/>
          <w:szCs w:val="21"/>
        </w:rPr>
        <w:t xml:space="preserve"> The forward validator did not catch them because it checked only that the function prefix was valid — </w:t>
      </w:r>
      <w:r>
        <w:rPr>
          <w:rFonts w:ascii="Consolas" w:cs="Consolas" w:eastAsia="Consolas" w:hAnsi="Consolas"/>
          <w:sz w:val="19"/>
          <w:szCs w:val="19"/>
        </w:rPr>
        <w:t xml:space="preserve">ID</w:t>
      </w:r>
      <w:r>
        <w:rPr>
          <w:rFonts w:ascii="Georgia" w:cs="Georgia" w:eastAsia="Georgia" w:hAnsi="Georgia"/>
          <w:sz w:val="21"/>
          <w:szCs w:val="21"/>
        </w:rPr>
        <w:t xml:space="preserve"> and </w:t>
      </w:r>
      <w:r>
        <w:rPr>
          <w:rFonts w:ascii="Consolas" w:cs="Consolas" w:eastAsia="Consolas" w:hAnsi="Consolas"/>
          <w:sz w:val="19"/>
          <w:szCs w:val="19"/>
        </w:rPr>
        <w:t xml:space="preserve">PR</w:t>
      </w:r>
      <w:r>
        <w:rPr>
          <w:rFonts w:ascii="Georgia" w:cs="Georgia" w:eastAsia="Georgia" w:hAnsi="Georgia"/>
          <w:sz w:val="21"/>
          <w:szCs w:val="21"/>
        </w:rPr>
        <w:t xml:space="preserve"> both are. Validity is now checked against the full subcategory list.</w:t>
      </w:r>
    </w:p>
    <w:p>
      <w:pPr>
        <w:pBdr>
          <w:left w:val="single" w:color="1F3864" w:sz="12" w:space="10"/>
        </w:pBdr>
        <w:spacing w:after="60" w:line="272"/>
        <w:ind w:left="403"/>
      </w:pPr>
      <w:r>
        <w:rPr>
          <w:rFonts w:ascii="Georgia" w:cs="Georgia" w:eastAsia="Georgia" w:hAnsi="Georgia"/>
          <w:b/>
          <w:bCs/>
          <w:sz w:val="20"/>
          <w:szCs w:val="20"/>
        </w:rPr>
        <w:t xml:space="preserve">Confidence note.</w:t>
      </w:r>
      <w:r>
        <w:rPr>
          <w:rFonts w:ascii="Georgia" w:cs="Georgia" w:eastAsia="Georgia" w:hAnsi="Georgia"/>
          <w:sz w:val="20"/>
          <w:szCs w:val="20"/>
        </w:rPr>
        <w:t xml:space="preserve"> </w:t>
      </w:r>
      <w:r>
        <w:rPr>
          <w:rFonts w:ascii="Consolas" w:cs="Consolas" w:eastAsia="Consolas" w:hAnsi="Consolas"/>
          <w:sz w:val="18"/>
          <w:szCs w:val="18"/>
        </w:rPr>
        <w:t xml:space="preserve">references.json</w:t>
      </w:r>
      <w:r>
        <w:rPr>
          <w:rFonts w:ascii="Georgia" w:cs="Georgia" w:eastAsia="Georgia" w:hAnsi="Georgia"/>
          <w:sz w:val="20"/>
          <w:szCs w:val="20"/>
        </w:rPr>
        <w:t xml:space="preserve"> reconstructs the CSF 2.0 subcategory</w:t>
      </w:r>
    </w:p>
    <w:p>
      <w:pPr>
        <w:pBdr>
          <w:left w:val="single" w:color="1F3864" w:sz="12" w:space="10"/>
        </w:pBdr>
        <w:spacing w:after="60" w:line="272"/>
        <w:ind w:left="403"/>
      </w:pPr>
      <w:r>
        <w:rPr>
          <w:rFonts w:ascii="Georgia" w:cs="Georgia" w:eastAsia="Georgia" w:hAnsi="Georgia"/>
          <w:sz w:val="20"/>
          <w:szCs w:val="20"/>
        </w:rPr>
        <w:t xml:space="preserve">list to the published 6 / 22 / 106 structure. The </w:t>
      </w:r>
      <w:r>
        <w:rPr>
          <w:rFonts w:ascii="Consolas" w:cs="Consolas" w:eastAsia="Consolas" w:hAnsi="Consolas"/>
          <w:sz w:val="18"/>
          <w:szCs w:val="18"/>
        </w:rPr>
        <w:t xml:space="preserve">ID.BE</w:t>
      </w:r>
      <w:r>
        <w:rPr>
          <w:rFonts w:ascii="Georgia" w:cs="Georgia" w:eastAsia="Georgia" w:hAnsi="Georgia"/>
          <w:sz w:val="20"/>
          <w:szCs w:val="20"/>
        </w:rPr>
        <w:t xml:space="preserve"> finding is high</w:t>
      </w:r>
    </w:p>
    <w:p>
      <w:pPr>
        <w:pBdr>
          <w:left w:val="single" w:color="1F3864" w:sz="12" w:space="10"/>
        </w:pBdr>
        <w:spacing w:after="60" w:line="272"/>
        <w:ind w:left="403"/>
      </w:pPr>
      <w:r>
        <w:rPr>
          <w:rFonts w:ascii="Georgia" w:cs="Georgia" w:eastAsia="Georgia" w:hAnsi="Georgia"/>
          <w:sz w:val="20"/>
          <w:szCs w:val="20"/>
        </w:rPr>
        <w:t xml:space="preserve">confidence — the whole category moved in 2.0. The </w:t>
      </w:r>
      <w:r>
        <w:rPr>
          <w:rFonts w:ascii="Consolas" w:cs="Consolas" w:eastAsia="Consolas" w:hAnsi="Consolas"/>
          <w:sz w:val="18"/>
          <w:szCs w:val="18"/>
        </w:rPr>
        <w:t xml:space="preserve">PR.DS-06</w:t>
      </w:r>
      <w:r>
        <w:rPr>
          <w:rFonts w:ascii="Georgia" w:cs="Georgia" w:eastAsia="Georgia" w:hAnsi="Georgia"/>
          <w:sz w:val="20"/>
          <w:szCs w:val="20"/>
        </w:rPr>
        <w:t xml:space="preserve"> finding depends</w:t>
      </w:r>
    </w:p>
    <w:p>
      <w:pPr>
        <w:pBdr>
          <w:left w:val="single" w:color="1F3864" w:sz="12" w:space="10"/>
        </w:pBdr>
        <w:spacing w:after="60" w:line="272"/>
        <w:ind w:left="403"/>
      </w:pPr>
      <w:r>
        <w:rPr>
          <w:rFonts w:ascii="Georgia" w:cs="Georgia" w:eastAsia="Georgia" w:hAnsi="Georgia"/>
          <w:sz w:val="20"/>
          <w:szCs w:val="20"/>
        </w:rPr>
        <w:t xml:space="preserve">on my reconstruction being right at the margins. Verify against the</w:t>
      </w:r>
    </w:p>
    <w:p>
      <w:pPr>
        <w:pBdr>
          <w:left w:val="single" w:color="1F3864" w:sz="12" w:space="10"/>
        </w:pBdr>
        <w:spacing w:after="160" w:line="272"/>
        <w:ind w:left="403"/>
      </w:pPr>
      <w:r>
        <w:rPr>
          <w:rFonts w:ascii="Georgia" w:cs="Georgia" w:eastAsia="Georgia" w:hAnsi="Georgia"/>
          <w:sz w:val="20"/>
          <w:szCs w:val="20"/>
        </w:rPr>
        <w:t xml:space="preserve">authoritative NIST Core before this drives a published claim.</w:t>
      </w:r>
    </w:p>
    <w:p>
      <w:pPr>
        <w:pBdr>
          <w:bottom w:val="single" w:color="BFBFBF" w:sz="6"/>
        </w:pBdr>
        <w:spacing w:after="200" w:before="100"/>
      </w:pPr>
      <w:r>
        <w:rPr>
          <w:sz w:val="2"/>
          <w:szCs w:val="2"/>
        </w:rPr>
        <w:t xml:space="preserve"/>
      </w:r>
    </w:p>
    <w:p>
      <w:pPr>
        <w:pStyle w:val="Heading2"/>
        <w:spacing w:after="150" w:before="300"/>
      </w:pPr>
      <w:r>
        <w:rPr>
          <w:rFonts w:ascii="Georgia" w:cs="Georgia" w:eastAsia="Georgia" w:hAnsi="Georgia"/>
          <w:b/>
          <w:bCs/>
        </w:rPr>
        <w:t xml:space="preserve">2. CSF 2.0 reverse coverage — 58 / 106 (55%)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4972"/>
        <w:gridCol w:w="2048"/>
      </w:tblGrid>
      <w:tr>
        <w:trPr>
          <w:tblHeader/>
        </w:trPr>
        <w:tc>
          <w:tcPr>
            <w:tcW w:type="dxa" w:w="2340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Category</w:t>
            </w:r>
          </w:p>
        </w:tc>
        <w:tc>
          <w:tcPr>
            <w:tcW w:type="dxa" w:w="4972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Name</w:t>
            </w:r>
          </w:p>
        </w:tc>
        <w:tc>
          <w:tcPr>
            <w:tcW w:type="dxa" w:w="2048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Covered</w:t>
            </w:r>
          </w:p>
        </w:tc>
      </w:tr>
      <w:tr>
        <w:tc>
          <w:tcPr>
            <w:tcW w:type="dxa" w:w="234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GV.OC</w:t>
            </w:r>
          </w:p>
        </w:tc>
        <w:tc>
          <w:tcPr>
            <w:tcW w:type="dxa" w:w="497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Organizational Context</w:t>
            </w:r>
          </w:p>
        </w:tc>
        <w:tc>
          <w:tcPr>
            <w:tcW w:type="dxa" w:w="204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3/5</w:t>
            </w:r>
          </w:p>
        </w:tc>
      </w:tr>
      <w:tr>
        <w:tc>
          <w:tcPr>
            <w:tcW w:type="dxa" w:w="234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GV.RM</w:t>
            </w:r>
          </w:p>
        </w:tc>
        <w:tc>
          <w:tcPr>
            <w:tcW w:type="dxa" w:w="497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Risk Management Strategy</w:t>
            </w:r>
          </w:p>
        </w:tc>
        <w:tc>
          <w:tcPr>
            <w:tcW w:type="dxa" w:w="204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3/7</w:t>
            </w:r>
          </w:p>
        </w:tc>
      </w:tr>
      <w:tr>
        <w:tc>
          <w:tcPr>
            <w:tcW w:type="dxa" w:w="234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GV.RR</w:t>
            </w:r>
          </w:p>
        </w:tc>
        <w:tc>
          <w:tcPr>
            <w:tcW w:type="dxa" w:w="497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Roles, Responsibilities, Authorities</w:t>
            </w:r>
          </w:p>
        </w:tc>
        <w:tc>
          <w:tcPr>
            <w:tcW w:type="dxa" w:w="204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3/4</w:t>
            </w:r>
          </w:p>
        </w:tc>
      </w:tr>
      <w:tr>
        <w:tc>
          <w:tcPr>
            <w:tcW w:type="dxa" w:w="234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GV.PO</w:t>
            </w:r>
          </w:p>
        </w:tc>
        <w:tc>
          <w:tcPr>
            <w:tcW w:type="dxa" w:w="497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Policy</w:t>
            </w:r>
          </w:p>
        </w:tc>
        <w:tc>
          <w:tcPr>
            <w:tcW w:type="dxa" w:w="204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1/2</w:t>
            </w:r>
          </w:p>
        </w:tc>
      </w:tr>
      <w:tr>
        <w:tc>
          <w:tcPr>
            <w:tcW w:type="dxa" w:w="234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GV.OV</w:t>
            </w:r>
          </w:p>
        </w:tc>
        <w:tc>
          <w:tcPr>
            <w:tcW w:type="dxa" w:w="497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Oversight</w:t>
            </w:r>
          </w:p>
        </w:tc>
        <w:tc>
          <w:tcPr>
            <w:tcW w:type="dxa" w:w="204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3/3</w:t>
            </w:r>
          </w:p>
        </w:tc>
      </w:tr>
      <w:tr>
        <w:tc>
          <w:tcPr>
            <w:tcW w:type="dxa" w:w="234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GV.SC</w:t>
            </w:r>
          </w:p>
        </w:tc>
        <w:tc>
          <w:tcPr>
            <w:tcW w:type="dxa" w:w="497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Supply Chain Risk Management</w:t>
            </w:r>
          </w:p>
        </w:tc>
        <w:tc>
          <w:tcPr>
            <w:tcW w:type="dxa" w:w="204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4/10</w:t>
            </w:r>
          </w:p>
        </w:tc>
      </w:tr>
      <w:tr>
        <w:tc>
          <w:tcPr>
            <w:tcW w:type="dxa" w:w="234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ID.AM</w:t>
            </w:r>
          </w:p>
        </w:tc>
        <w:tc>
          <w:tcPr>
            <w:tcW w:type="dxa" w:w="497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Asset Management</w:t>
            </w:r>
          </w:p>
        </w:tc>
        <w:tc>
          <w:tcPr>
            <w:tcW w:type="dxa" w:w="204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6/7</w:t>
            </w:r>
          </w:p>
        </w:tc>
      </w:tr>
      <w:tr>
        <w:tc>
          <w:tcPr>
            <w:tcW w:type="dxa" w:w="234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ID.RA</w:t>
            </w:r>
          </w:p>
        </w:tc>
        <w:tc>
          <w:tcPr>
            <w:tcW w:type="dxa" w:w="497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Risk Assessment</w:t>
            </w:r>
          </w:p>
        </w:tc>
        <w:tc>
          <w:tcPr>
            <w:tcW w:type="dxa" w:w="204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7/10</w:t>
            </w:r>
          </w:p>
        </w:tc>
      </w:tr>
      <w:tr>
        <w:tc>
          <w:tcPr>
            <w:tcW w:type="dxa" w:w="234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ID.IM</w:t>
            </w:r>
          </w:p>
        </w:tc>
        <w:tc>
          <w:tcPr>
            <w:tcW w:type="dxa" w:w="497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Improvement</w:t>
            </w:r>
          </w:p>
        </w:tc>
        <w:tc>
          <w:tcPr>
            <w:tcW w:type="dxa" w:w="204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3/4</w:t>
            </w:r>
          </w:p>
        </w:tc>
      </w:tr>
      <w:tr>
        <w:tc>
          <w:tcPr>
            <w:tcW w:type="dxa" w:w="234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PR.AA</w:t>
            </w:r>
          </w:p>
        </w:tc>
        <w:tc>
          <w:tcPr>
            <w:tcW w:type="dxa" w:w="497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Identity, Authentication, Access Control</w:t>
            </w:r>
          </w:p>
        </w:tc>
        <w:tc>
          <w:tcPr>
            <w:tcW w:type="dxa" w:w="204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3/6</w:t>
            </w:r>
          </w:p>
        </w:tc>
      </w:tr>
      <w:tr>
        <w:tc>
          <w:tcPr>
            <w:tcW w:type="dxa" w:w="234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PR.AT</w:t>
            </w:r>
          </w:p>
        </w:tc>
        <w:tc>
          <w:tcPr>
            <w:tcW w:type="dxa" w:w="497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Awareness and Training</w:t>
            </w:r>
          </w:p>
        </w:tc>
        <w:tc>
          <w:tcPr>
            <w:tcW w:type="dxa" w:w="204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2/2</w:t>
            </w:r>
          </w:p>
        </w:tc>
      </w:tr>
      <w:tr>
        <w:tc>
          <w:tcPr>
            <w:tcW w:type="dxa" w:w="234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PR.DS</w:t>
            </w:r>
          </w:p>
        </w:tc>
        <w:tc>
          <w:tcPr>
            <w:tcW w:type="dxa" w:w="497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Data Security</w:t>
            </w:r>
          </w:p>
        </w:tc>
        <w:tc>
          <w:tcPr>
            <w:tcW w:type="dxa" w:w="204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2/4</w:t>
            </w:r>
          </w:p>
        </w:tc>
      </w:tr>
      <w:tr>
        <w:tc>
          <w:tcPr>
            <w:tcW w:type="dxa" w:w="234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PR.PS</w:t>
            </w:r>
          </w:p>
        </w:tc>
        <w:tc>
          <w:tcPr>
            <w:tcW w:type="dxa" w:w="497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Platform Security</w:t>
            </w:r>
          </w:p>
        </w:tc>
        <w:tc>
          <w:tcPr>
            <w:tcW w:type="dxa" w:w="204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3/6</w:t>
            </w:r>
          </w:p>
        </w:tc>
      </w:tr>
      <w:tr>
        <w:tc>
          <w:tcPr>
            <w:tcW w:type="dxa" w:w="234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PR.IR</w:t>
            </w:r>
          </w:p>
        </w:tc>
        <w:tc>
          <w:tcPr>
            <w:tcW w:type="dxa" w:w="497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Infrastructure Resilience</w:t>
            </w:r>
          </w:p>
        </w:tc>
        <w:tc>
          <w:tcPr>
            <w:tcW w:type="dxa" w:w="204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3/4</w:t>
            </w:r>
          </w:p>
        </w:tc>
      </w:tr>
      <w:tr>
        <w:tc>
          <w:tcPr>
            <w:tcW w:type="dxa" w:w="234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DE.CM</w:t>
            </w:r>
          </w:p>
        </w:tc>
        <w:tc>
          <w:tcPr>
            <w:tcW w:type="dxa" w:w="497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Continuous Monitoring</w:t>
            </w:r>
          </w:p>
        </w:tc>
        <w:tc>
          <w:tcPr>
            <w:tcW w:type="dxa" w:w="204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2/5</w:t>
            </w:r>
          </w:p>
        </w:tc>
      </w:tr>
      <w:tr>
        <w:tc>
          <w:tcPr>
            <w:tcW w:type="dxa" w:w="234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DE.AE</w:t>
            </w:r>
          </w:p>
        </w:tc>
        <w:tc>
          <w:tcPr>
            <w:tcW w:type="dxa" w:w="497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Adverse Event Analysis</w:t>
            </w:r>
          </w:p>
        </w:tc>
        <w:tc>
          <w:tcPr>
            <w:tcW w:type="dxa" w:w="204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3/6</w:t>
            </w:r>
          </w:p>
        </w:tc>
      </w:tr>
      <w:tr>
        <w:tc>
          <w:tcPr>
            <w:tcW w:type="dxa" w:w="234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RS.MA</w:t>
            </w:r>
          </w:p>
        </w:tc>
        <w:tc>
          <w:tcPr>
            <w:tcW w:type="dxa" w:w="497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Incident Management</w:t>
            </w:r>
          </w:p>
        </w:tc>
        <w:tc>
          <w:tcPr>
            <w:tcW w:type="dxa" w:w="204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1/5</w:t>
            </w:r>
          </w:p>
        </w:tc>
      </w:tr>
      <w:tr>
        <w:tc>
          <w:tcPr>
            <w:tcW w:type="dxa" w:w="234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RS.AN</w:t>
            </w:r>
          </w:p>
        </w:tc>
        <w:tc>
          <w:tcPr>
            <w:tcW w:type="dxa" w:w="497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Incident Analysis</w:t>
            </w:r>
          </w:p>
        </w:tc>
        <w:tc>
          <w:tcPr>
            <w:tcW w:type="dxa" w:w="204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0/4</w:t>
            </w:r>
          </w:p>
        </w:tc>
      </w:tr>
      <w:tr>
        <w:tc>
          <w:tcPr>
            <w:tcW w:type="dxa" w:w="234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RS.CO</w:t>
            </w:r>
          </w:p>
        </w:tc>
        <w:tc>
          <w:tcPr>
            <w:tcW w:type="dxa" w:w="497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Incident Response Reporting</w:t>
            </w:r>
          </w:p>
        </w:tc>
        <w:tc>
          <w:tcPr>
            <w:tcW w:type="dxa" w:w="204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0/2</w:t>
            </w:r>
          </w:p>
        </w:tc>
      </w:tr>
      <w:tr>
        <w:tc>
          <w:tcPr>
            <w:tcW w:type="dxa" w:w="234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RS.MI</w:t>
            </w:r>
          </w:p>
        </w:tc>
        <w:tc>
          <w:tcPr>
            <w:tcW w:type="dxa" w:w="497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Incident Mitigation</w:t>
            </w:r>
          </w:p>
        </w:tc>
        <w:tc>
          <w:tcPr>
            <w:tcW w:type="dxa" w:w="204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1/2</w:t>
            </w:r>
          </w:p>
        </w:tc>
      </w:tr>
      <w:tr>
        <w:tc>
          <w:tcPr>
            <w:tcW w:type="dxa" w:w="234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RC.RP</w:t>
            </w:r>
          </w:p>
        </w:tc>
        <w:tc>
          <w:tcPr>
            <w:tcW w:type="dxa" w:w="497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Incident Recovery Plan Execution</w:t>
            </w:r>
          </w:p>
        </w:tc>
        <w:tc>
          <w:tcPr>
            <w:tcW w:type="dxa" w:w="204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5/6</w:t>
            </w:r>
          </w:p>
        </w:tc>
      </w:tr>
      <w:tr>
        <w:tc>
          <w:tcPr>
            <w:tcW w:type="dxa" w:w="234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RC.CO</w:t>
            </w:r>
          </w:p>
        </w:tc>
        <w:tc>
          <w:tcPr>
            <w:tcW w:type="dxa" w:w="497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Incident Recovery Communication</w:t>
            </w:r>
          </w:p>
        </w:tc>
        <w:tc>
          <w:tcPr>
            <w:tcW w:type="dxa" w:w="204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0/2</w:t>
            </w:r>
          </w:p>
        </w:tc>
      </w:tr>
    </w:tbl>
    <w:p>
      <w:pPr>
        <w:spacing w:after="90" w:line="278"/>
      </w:pPr>
      <w:r>
        <w:rPr>
          <w:rFonts w:ascii="Georgia" w:cs="Georgia" w:eastAsia="Georgia" w:hAnsi="Georgia"/>
          <w:sz w:val="21"/>
          <w:szCs w:val="21"/>
        </w:rPr>
        <w:t xml:space="preserve"/>
      </w:r>
    </w:p>
    <w:p>
      <w:pPr>
        <w:pStyle w:val="Heading3"/>
        <w:spacing w:after="150" w:before="300"/>
      </w:pPr>
      <w:r>
        <w:rPr>
          <w:rFonts w:ascii="Georgia" w:cs="Georgia" w:eastAsia="Georgia" w:hAnsi="Georgia"/>
          <w:b/>
          <w:bCs/>
        </w:rPr>
        <w:t xml:space="preserve">The headline: Respond is 2 of 13</w:t>
      </w:r>
    </w:p>
    <w:p>
      <w:pPr>
        <w:spacing w:after="130" w:line="278"/>
      </w:pPr>
      <w:r>
        <w:rPr>
          <w:rFonts w:ascii="Georgia" w:cs="Georgia" w:eastAsia="Georgia" w:hAnsi="Georgia"/>
          <w:sz w:val="21"/>
          <w:szCs w:val="21"/>
        </w:rPr>
        <w:t xml:space="preserve">Three categories are entirely uncovered, and all three sit in the second half of the incident lifecycle. Aggregated: </w:t>
      </w:r>
      <w:r>
        <w:rPr>
          <w:rFonts w:ascii="Georgia" w:cs="Georgia" w:eastAsia="Georgia" w:hAnsi="Georgia"/>
          <w:b/>
          <w:bCs/>
          <w:sz w:val="21"/>
          <w:szCs w:val="21"/>
        </w:rPr>
        <w:t xml:space="preserve">Respond 2/13, Detect 5/11, Recover 5/8.</w:t>
      </w:r>
    </w:p>
    <w:p>
      <w:pPr>
        <w:spacing w:after="130" w:line="278"/>
      </w:pPr>
      <w:r>
        <w:rPr>
          <w:rFonts w:ascii="Georgia" w:cs="Georgia" w:eastAsia="Georgia" w:hAnsi="Georgia"/>
          <w:sz w:val="21"/>
          <w:szCs w:val="21"/>
        </w:rPr>
        <w:t xml:space="preserve">This is the same structural finding raised at the start of the v4.0 work, arriving from a third independent direction. The first two were the technique layer (M7, M9, M10 and M11 all parked on TX Cross-Cutting rather than on real ground) and the CSF function distribution (ID 42 citations against DE 6). Reverse coverage now says it in outcome terms: </w:t>
      </w:r>
      <w:r>
        <w:rPr>
          <w:rFonts w:ascii="Georgia" w:cs="Georgia" w:eastAsia="Georgia" w:hAnsi="Georgia"/>
          <w:b/>
          <w:bCs/>
          <w:sz w:val="21"/>
          <w:szCs w:val="21"/>
        </w:rPr>
        <w:t xml:space="preserve">a framework whose signature metric is detect → decide → contain covers two of thirteen Respond outcomes.</w:t>
      </w:r>
    </w:p>
    <w:p>
      <w:pPr>
        <w:pBdr>
          <w:bottom w:val="single" w:color="BFBFBF" w:sz="6"/>
        </w:pBdr>
        <w:spacing w:after="200" w:before="100"/>
      </w:pPr>
      <w:r>
        <w:rPr>
          <w:sz w:val="2"/>
          <w:szCs w:val="2"/>
        </w:rPr>
        <w:t xml:space="preserve"/>
      </w:r>
    </w:p>
    <w:p>
      <w:pPr>
        <w:pStyle w:val="Heading2"/>
        <w:spacing w:after="150" w:before="300"/>
      </w:pPr>
      <w:r>
        <w:rPr>
          <w:rFonts w:ascii="Georgia" w:cs="Georgia" w:eastAsia="Georgia" w:hAnsi="Georgia"/>
          <w:b/>
          <w:bCs/>
        </w:rPr>
        <w:t xml:space="preserve">3. Triage of the 48 uncovered subcategories</w:t>
      </w:r>
    </w:p>
    <w:p>
      <w:pPr>
        <w:spacing w:after="130" w:line="278"/>
      </w:pPr>
      <w:r>
        <w:rPr>
          <w:rFonts w:ascii="Georgia" w:cs="Georgia" w:eastAsia="Georgia" w:hAnsi="Georgia"/>
          <w:sz w:val="21"/>
          <w:szCs w:val="21"/>
        </w:rPr>
        <w:t xml:space="preserve">Proposed classification. </w:t>
      </w:r>
      <w:r>
        <w:rPr>
          <w:rFonts w:ascii="Georgia" w:cs="Georgia" w:eastAsia="Georgia" w:hAnsi="Georgia"/>
          <w:b/>
          <w:bCs/>
          <w:sz w:val="21"/>
          <w:szCs w:val="21"/>
        </w:rPr>
        <w:t xml:space="preserve">Class A</w:t>
      </w:r>
      <w:r>
        <w:rPr>
          <w:rFonts w:ascii="Georgia" w:cs="Georgia" w:eastAsia="Georgia" w:hAnsi="Georgia"/>
          <w:sz w:val="21"/>
          <w:szCs w:val="21"/>
        </w:rPr>
        <w:t xml:space="preserve"> = genuine gap, a control should exist. </w:t>
      </w:r>
      <w:r>
        <w:rPr>
          <w:rFonts w:ascii="Georgia" w:cs="Georgia" w:eastAsia="Georgia" w:hAnsi="Georgia"/>
          <w:b/>
          <w:bCs/>
          <w:sz w:val="21"/>
          <w:szCs w:val="21"/>
        </w:rPr>
        <w:t xml:space="preserve">Class B</w:t>
      </w:r>
      <w:r>
        <w:rPr>
          <w:rFonts w:ascii="Georgia" w:cs="Georgia" w:eastAsia="Georgia" w:hAnsi="Georgia"/>
          <w:sz w:val="21"/>
          <w:szCs w:val="21"/>
        </w:rPr>
        <w:t xml:space="preserve"> = legitimately out of scope, inherited from the baseline, should be recorded as a deliberate exclusion rather than left silent.</w:t>
      </w:r>
    </w:p>
    <w:p>
      <w:pPr>
        <w:pStyle w:val="Heading3"/>
        <w:spacing w:after="150" w:before="300"/>
      </w:pPr>
      <w:r>
        <w:rPr>
          <w:rFonts w:ascii="Georgia" w:cs="Georgia" w:eastAsia="Georgia" w:hAnsi="Georgia"/>
          <w:b/>
          <w:bCs/>
        </w:rPr>
        <w:t xml:space="preserve">Class A — genuine gaps (24)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8"/>
        <w:gridCol w:w="4216"/>
        <w:gridCol w:w="4216"/>
      </w:tblGrid>
      <w:tr>
        <w:trPr>
          <w:tblHeader/>
        </w:trPr>
        <w:tc>
          <w:tcPr>
            <w:tcW w:type="dxa" w:w="928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Subcategory</w:t>
            </w:r>
          </w:p>
        </w:tc>
        <w:tc>
          <w:tcPr>
            <w:tcW w:type="dxa" w:w="4216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Outcome</w:t>
            </w:r>
          </w:p>
        </w:tc>
        <w:tc>
          <w:tcPr>
            <w:tcW w:type="dxa" w:w="4216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Why it belongs in ASOM-Fed</w:t>
            </w:r>
          </w:p>
        </w:tc>
      </w:tr>
      <w:tr>
        <w:tc>
          <w:tcPr>
            <w:tcW w:type="dxa" w:w="92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RS.AN-03</w:t>
            </w:r>
          </w:p>
        </w:tc>
        <w:tc>
          <w:tcPr>
            <w:tcW w:type="dxa" w:w="42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Analysis establishes what took place</w:t>
            </w:r>
          </w:p>
        </w:tc>
        <w:tc>
          <w:tcPr>
            <w:tcW w:type="dxa" w:w="42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M10's precondition is a dwell reconstruction; nothing assesses it</w:t>
            </w:r>
          </w:p>
        </w:tc>
      </w:tr>
      <w:tr>
        <w:tc>
          <w:tcPr>
            <w:tcW w:type="dxa" w:w="92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RS.AN-06</w:t>
            </w:r>
          </w:p>
        </w:tc>
        <w:tc>
          <w:tcPr>
            <w:tcW w:type="dxa" w:w="42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Investigation actions recorded</w:t>
            </w:r>
          </w:p>
        </w:tc>
        <w:tc>
          <w:tcPr>
            <w:tcW w:type="dxa" w:w="42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Required for M10.02 avenue closure verification</w:t>
            </w:r>
          </w:p>
        </w:tc>
      </w:tr>
      <w:tr>
        <w:tc>
          <w:tcPr>
            <w:tcW w:type="dxa" w:w="92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RS.AN-07</w:t>
            </w:r>
          </w:p>
        </w:tc>
        <w:tc>
          <w:tcPr>
            <w:tcW w:type="dxa" w:w="42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Incident data and metadata preserved</w:t>
            </w:r>
          </w:p>
        </w:tc>
        <w:tc>
          <w:tcPr>
            <w:tcW w:type="dxa" w:w="42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Feeds RC-4 restore point selection and TA-2 local dwell</w:t>
            </w:r>
          </w:p>
        </w:tc>
      </w:tr>
      <w:tr>
        <w:tc>
          <w:tcPr>
            <w:tcW w:type="dxa" w:w="92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RS.AN-08</w:t>
            </w:r>
          </w:p>
        </w:tc>
        <w:tc>
          <w:tcPr>
            <w:tcW w:type="dxa" w:w="42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Incident magnitude estimated</w:t>
            </w:r>
          </w:p>
        </w:tc>
        <w:tc>
          <w:tcPr>
            <w:tcW w:type="dxa" w:w="42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Feeds CE-4 posture and CG-4 disposition</w:t>
            </w:r>
          </w:p>
        </w:tc>
      </w:tr>
      <w:tr>
        <w:tc>
          <w:tcPr>
            <w:tcW w:type="dxa" w:w="92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RS.MA-02</w:t>
            </w:r>
          </w:p>
        </w:tc>
        <w:tc>
          <w:tcPr>
            <w:tcW w:type="dxa" w:w="42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Incident reports triaged and validated</w:t>
            </w:r>
          </w:p>
        </w:tc>
        <w:tc>
          <w:tcPr>
            <w:tcW w:type="dxa" w:w="42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This </w:t>
            </w:r>
            <w:r>
              <w:rPr>
                <w:rFonts w:ascii="Georgia" w:cs="Georgia" w:eastAsia="Georgia" w:hAnsi="Georgia"/>
                <w:i/>
                <w:iCs/>
                <w:sz w:val="18"/>
                <w:szCs w:val="18"/>
              </w:rPr>
              <w:t xml:space="preserve">is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the decide segment TA-1 measures</w:t>
            </w:r>
          </w:p>
        </w:tc>
      </w:tr>
      <w:tr>
        <w:tc>
          <w:tcPr>
            <w:tcW w:type="dxa" w:w="92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RS.MA-03</w:t>
            </w:r>
          </w:p>
        </w:tc>
        <w:tc>
          <w:tcPr>
            <w:tcW w:type="dxa" w:w="42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Incidents categorized and prioritized</w:t>
            </w:r>
          </w:p>
        </w:tc>
        <w:tc>
          <w:tcPr>
            <w:tcW w:type="dxa" w:w="42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Determines which maneuver applies</w:t>
            </w:r>
          </w:p>
        </w:tc>
      </w:tr>
      <w:tr>
        <w:tc>
          <w:tcPr>
            <w:tcW w:type="dxa" w:w="92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RS.MA-04</w:t>
            </w:r>
          </w:p>
        </w:tc>
        <w:tc>
          <w:tcPr>
            <w:tcW w:type="dxa" w:w="42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Incidents escalated or elevated</w:t>
            </w:r>
          </w:p>
        </w:tc>
        <w:tc>
          <w:tcPr>
            <w:tcW w:type="dxa" w:w="42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The escalation path TA-4 exists to shorten</w:t>
            </w:r>
          </w:p>
        </w:tc>
      </w:tr>
      <w:tr>
        <w:tc>
          <w:tcPr>
            <w:tcW w:type="dxa" w:w="92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RS.MA-05</w:t>
            </w:r>
          </w:p>
        </w:tc>
        <w:tc>
          <w:tcPr>
            <w:tcW w:type="dxa" w:w="42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Recovery criteria applied</w:t>
            </w:r>
          </w:p>
        </w:tc>
        <w:tc>
          <w:tcPr>
            <w:tcW w:type="dxa" w:w="42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The M8 → M11 transition decision</w:t>
            </w:r>
          </w:p>
        </w:tc>
      </w:tr>
      <w:tr>
        <w:tc>
          <w:tcPr>
            <w:tcW w:type="dxa" w:w="92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RS.MI-02</w:t>
            </w:r>
          </w:p>
        </w:tc>
        <w:tc>
          <w:tcPr>
            <w:tcW w:type="dxa" w:w="42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Incidents eradicated</w:t>
            </w:r>
          </w:p>
        </w:tc>
        <w:tc>
          <w:tcPr>
            <w:tcW w:type="dxa" w:w="42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M7 Counterattack eviction</w:t>
            </w:r>
          </w:p>
        </w:tc>
      </w:tr>
      <w:tr>
        <w:tc>
          <w:tcPr>
            <w:tcW w:type="dxa" w:w="92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RS.CO-02</w:t>
            </w:r>
          </w:p>
        </w:tc>
        <w:tc>
          <w:tcPr>
            <w:tcW w:type="dxa" w:w="42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Reporting to designated stakeholders</w:t>
            </w:r>
          </w:p>
        </w:tc>
        <w:tc>
          <w:tcPr>
            <w:tcW w:type="dxa" w:w="42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M10.05 exists as a technique with no assessing control</w:t>
            </w:r>
          </w:p>
        </w:tc>
      </w:tr>
      <w:tr>
        <w:tc>
          <w:tcPr>
            <w:tcW w:type="dxa" w:w="92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RS.CO-03</w:t>
            </w:r>
          </w:p>
        </w:tc>
        <w:tc>
          <w:tcPr>
            <w:tcW w:type="dxa" w:w="42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Information shared with stakeholders</w:t>
            </w:r>
          </w:p>
        </w:tc>
        <w:tc>
          <w:tcPr>
            <w:tcW w:type="dxa" w:w="42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Same</w:t>
            </w:r>
          </w:p>
        </w:tc>
      </w:tr>
      <w:tr>
        <w:tc>
          <w:tcPr>
            <w:tcW w:type="dxa" w:w="92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RC.CO-03</w:t>
            </w:r>
          </w:p>
        </w:tc>
        <w:tc>
          <w:tcPr>
            <w:tcW w:type="dxa" w:w="42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Recovery activities communicated</w:t>
            </w:r>
          </w:p>
        </w:tc>
        <w:tc>
          <w:tcPr>
            <w:tcW w:type="dxa" w:w="42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CE-7 covers internal briefing only</w:t>
            </w:r>
          </w:p>
        </w:tc>
      </w:tr>
      <w:tr>
        <w:tc>
          <w:tcPr>
            <w:tcW w:type="dxa" w:w="92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RC.CO-04</w:t>
            </w:r>
          </w:p>
        </w:tc>
        <w:tc>
          <w:tcPr>
            <w:tcW w:type="dxa" w:w="42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Public updates on recovery</w:t>
            </w:r>
          </w:p>
        </w:tc>
        <w:tc>
          <w:tcPr>
            <w:tcW w:type="dxa" w:w="42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Federal availability obligations make this material</w:t>
            </w:r>
          </w:p>
        </w:tc>
      </w:tr>
      <w:tr>
        <w:tc>
          <w:tcPr>
            <w:tcW w:type="dxa" w:w="92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RC.RP-02</w:t>
            </w:r>
          </w:p>
        </w:tc>
        <w:tc>
          <w:tcPr>
            <w:tcW w:type="dxa" w:w="42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Recovery actions selected and scoped</w:t>
            </w:r>
          </w:p>
        </w:tc>
        <w:tc>
          <w:tcPr>
            <w:tcW w:type="dxa" w:w="42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RC-3 sequences; nothing selects</w:t>
            </w:r>
          </w:p>
        </w:tc>
      </w:tr>
      <w:tr>
        <w:tc>
          <w:tcPr>
            <w:tcW w:type="dxa" w:w="92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DE.AE-03</w:t>
            </w:r>
          </w:p>
        </w:tc>
        <w:tc>
          <w:tcPr>
            <w:tcW w:type="dxa" w:w="42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Information correlated from multiple sources</w:t>
            </w:r>
          </w:p>
        </w:tc>
        <w:tc>
          <w:tcPr>
            <w:tcW w:type="dxa" w:w="42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CE-3 Fusion should map here</w:t>
            </w:r>
          </w:p>
        </w:tc>
      </w:tr>
      <w:tr>
        <w:tc>
          <w:tcPr>
            <w:tcW w:type="dxa" w:w="92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DE.AE-04</w:t>
            </w:r>
          </w:p>
        </w:tc>
        <w:tc>
          <w:tcPr>
            <w:tcW w:type="dxa" w:w="42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Impact and scope understood</w:t>
            </w:r>
          </w:p>
        </w:tc>
        <w:tc>
          <w:tcPr>
            <w:tcW w:type="dxa" w:w="42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Pairs with RS.AN-08</w:t>
            </w:r>
          </w:p>
        </w:tc>
      </w:tr>
      <w:tr>
        <w:tc>
          <w:tcPr>
            <w:tcW w:type="dxa" w:w="92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DE.AE-08</w:t>
            </w:r>
          </w:p>
        </w:tc>
        <w:tc>
          <w:tcPr>
            <w:tcW w:type="dxa" w:w="42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Incidents declared against criteria</w:t>
            </w:r>
          </w:p>
        </w:tc>
        <w:tc>
          <w:tcPr>
            <w:tcW w:type="dxa" w:w="42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Declaration criteria feed CG-2 phase transition</w:t>
            </w:r>
          </w:p>
        </w:tc>
      </w:tr>
      <w:tr>
        <w:tc>
          <w:tcPr>
            <w:tcW w:type="dxa" w:w="92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DE.CM-02</w:t>
            </w:r>
          </w:p>
        </w:tc>
        <w:tc>
          <w:tcPr>
            <w:tcW w:type="dxa" w:w="42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Physical environment monitored</w:t>
            </w:r>
          </w:p>
        </w:tc>
        <w:tc>
          <w:tcPr>
            <w:tcW w:type="dxa" w:w="42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FC-2 crossing logs should map here</w:t>
            </w:r>
          </w:p>
        </w:tc>
      </w:tr>
      <w:tr>
        <w:tc>
          <w:tcPr>
            <w:tcW w:type="dxa" w:w="92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DE.CM-06</w:t>
            </w:r>
          </w:p>
        </w:tc>
        <w:tc>
          <w:tcPr>
            <w:tcW w:type="dxa" w:w="42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External provider activities monitored</w:t>
            </w:r>
          </w:p>
        </w:tc>
        <w:tc>
          <w:tcPr>
            <w:tcW w:type="dxa" w:w="42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LC-3 brokered access should map here</w:t>
            </w:r>
          </w:p>
        </w:tc>
      </w:tr>
      <w:tr>
        <w:tc>
          <w:tcPr>
            <w:tcW w:type="dxa" w:w="92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DE.CM-09</w:t>
            </w:r>
          </w:p>
        </w:tc>
        <w:tc>
          <w:tcPr>
            <w:tcW w:type="dxa" w:w="42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Computing hardware and software monitored</w:t>
            </w:r>
          </w:p>
        </w:tc>
        <w:tc>
          <w:tcPr>
            <w:tcW w:type="dxa" w:w="42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Core detection coverage</w:t>
            </w:r>
          </w:p>
        </w:tc>
      </w:tr>
      <w:tr>
        <w:tc>
          <w:tcPr>
            <w:tcW w:type="dxa" w:w="92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PR.AA-02</w:t>
            </w:r>
          </w:p>
        </w:tc>
        <w:tc>
          <w:tcPr>
            <w:tcW w:type="dxa" w:w="42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Identities proofed and bound to credentials</w:t>
            </w:r>
          </w:p>
        </w:tc>
        <w:tc>
          <w:tcPr>
            <w:tcW w:type="dxa" w:w="42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Proposed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ID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family</w:t>
            </w:r>
          </w:p>
        </w:tc>
      </w:tr>
      <w:tr>
        <w:tc>
          <w:tcPr>
            <w:tcW w:type="dxa" w:w="92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PR.AA-03</w:t>
            </w:r>
          </w:p>
        </w:tc>
        <w:tc>
          <w:tcPr>
            <w:tcW w:type="dxa" w:w="42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Users, services, hardware authenticated</w:t>
            </w:r>
          </w:p>
        </w:tc>
        <w:tc>
          <w:tcPr>
            <w:tcW w:type="dxa" w:w="42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Proposed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ID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family</w:t>
            </w:r>
          </w:p>
        </w:tc>
      </w:tr>
      <w:tr>
        <w:tc>
          <w:tcPr>
            <w:tcW w:type="dxa" w:w="92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PR.AA-04</w:t>
            </w:r>
          </w:p>
        </w:tc>
        <w:tc>
          <w:tcPr>
            <w:tcW w:type="dxa" w:w="42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Identity assertions protected</w:t>
            </w:r>
          </w:p>
        </w:tc>
        <w:tc>
          <w:tcPr>
            <w:tcW w:type="dxa" w:w="42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Proposed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ID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family</w:t>
            </w:r>
          </w:p>
        </w:tc>
      </w:tr>
      <w:tr>
        <w:tc>
          <w:tcPr>
            <w:tcW w:type="dxa" w:w="92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GV.SC-09</w:t>
            </w:r>
          </w:p>
        </w:tc>
        <w:tc>
          <w:tcPr>
            <w:tcW w:type="dxa" w:w="42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Supply chain practices integrated into programs</w:t>
            </w:r>
          </w:p>
        </w:tc>
        <w:tc>
          <w:tcPr>
            <w:tcW w:type="dxa" w:w="421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FO-6 scope adjacent</w:t>
            </w:r>
          </w:p>
        </w:tc>
      </w:tr>
    </w:tbl>
    <w:p>
      <w:pPr>
        <w:spacing w:after="90" w:line="278"/>
      </w:pPr>
      <w:r>
        <w:rPr>
          <w:rFonts w:ascii="Georgia" w:cs="Georgia" w:eastAsia="Georgia" w:hAnsi="Georgia"/>
          <w:sz w:val="21"/>
          <w:szCs w:val="21"/>
        </w:rPr>
        <w:t xml:space="preserve"/>
      </w:r>
    </w:p>
    <w:p>
      <w:pPr>
        <w:pStyle w:val="Heading3"/>
        <w:spacing w:after="150" w:before="300"/>
      </w:pPr>
      <w:r>
        <w:rPr>
          <w:rFonts w:ascii="Georgia" w:cs="Georgia" w:eastAsia="Georgia" w:hAnsi="Georgia"/>
          <w:b/>
          <w:bCs/>
        </w:rPr>
        <w:t xml:space="preserve">Class B — out of scope, inherit and record (24)</w:t>
      </w:r>
    </w:p>
    <w:p>
      <w:pPr>
        <w:spacing w:after="130" w:line="278"/>
      </w:pPr>
      <w:r>
        <w:rPr>
          <w:rFonts w:ascii="Consolas" w:cs="Consolas" w:eastAsia="Consolas" w:hAnsi="Consolas"/>
          <w:sz w:val="19"/>
          <w:szCs w:val="19"/>
        </w:rPr>
        <w:t xml:space="preserve">GV.OC-02</w:t>
      </w:r>
      <w:r>
        <w:rPr>
          <w:rFonts w:ascii="Georgia" w:cs="Georgia" w:eastAsia="Georgia" w:hAnsi="Georgia"/>
          <w:sz w:val="21"/>
          <w:szCs w:val="21"/>
        </w:rPr>
        <w:t xml:space="preserve">, </w:t>
      </w:r>
      <w:r>
        <w:rPr>
          <w:rFonts w:ascii="Consolas" w:cs="Consolas" w:eastAsia="Consolas" w:hAnsi="Consolas"/>
          <w:sz w:val="19"/>
          <w:szCs w:val="19"/>
        </w:rPr>
        <w:t xml:space="preserve">GV.OC-05</w:t>
      </w:r>
      <w:r>
        <w:rPr>
          <w:rFonts w:ascii="Georgia" w:cs="Georgia" w:eastAsia="Georgia" w:hAnsi="Georgia"/>
          <w:sz w:val="21"/>
          <w:szCs w:val="21"/>
        </w:rPr>
        <w:t xml:space="preserve">, </w:t>
      </w:r>
      <w:r>
        <w:rPr>
          <w:rFonts w:ascii="Consolas" w:cs="Consolas" w:eastAsia="Consolas" w:hAnsi="Consolas"/>
          <w:sz w:val="19"/>
          <w:szCs w:val="19"/>
        </w:rPr>
        <w:t xml:space="preserve">GV.PO-02</w:t>
      </w:r>
      <w:r>
        <w:rPr>
          <w:rFonts w:ascii="Georgia" w:cs="Georgia" w:eastAsia="Georgia" w:hAnsi="Georgia"/>
          <w:sz w:val="21"/>
          <w:szCs w:val="21"/>
        </w:rPr>
        <w:t xml:space="preserve">, </w:t>
      </w:r>
      <w:r>
        <w:rPr>
          <w:rFonts w:ascii="Consolas" w:cs="Consolas" w:eastAsia="Consolas" w:hAnsi="Consolas"/>
          <w:sz w:val="19"/>
          <w:szCs w:val="19"/>
        </w:rPr>
        <w:t xml:space="preserve">GV.RM-04</w:t>
      </w:r>
      <w:r>
        <w:rPr>
          <w:rFonts w:ascii="Georgia" w:cs="Georgia" w:eastAsia="Georgia" w:hAnsi="Georgia"/>
          <w:sz w:val="21"/>
          <w:szCs w:val="21"/>
        </w:rPr>
        <w:t xml:space="preserve">, </w:t>
      </w:r>
      <w:r>
        <w:rPr>
          <w:rFonts w:ascii="Consolas" w:cs="Consolas" w:eastAsia="Consolas" w:hAnsi="Consolas"/>
          <w:sz w:val="19"/>
          <w:szCs w:val="19"/>
        </w:rPr>
        <w:t xml:space="preserve">GV.RM-05</w:t>
      </w:r>
      <w:r>
        <w:rPr>
          <w:rFonts w:ascii="Georgia" w:cs="Georgia" w:eastAsia="Georgia" w:hAnsi="Georgia"/>
          <w:sz w:val="21"/>
          <w:szCs w:val="21"/>
        </w:rPr>
        <w:t xml:space="preserve">, </w:t>
      </w:r>
      <w:r>
        <w:rPr>
          <w:rFonts w:ascii="Consolas" w:cs="Consolas" w:eastAsia="Consolas" w:hAnsi="Consolas"/>
          <w:sz w:val="19"/>
          <w:szCs w:val="19"/>
        </w:rPr>
        <w:t xml:space="preserve">GV.RM-06</w:t>
      </w:r>
      <w:r>
        <w:rPr>
          <w:rFonts w:ascii="Georgia" w:cs="Georgia" w:eastAsia="Georgia" w:hAnsi="Georgia"/>
          <w:sz w:val="21"/>
          <w:szCs w:val="21"/>
        </w:rPr>
        <w:t xml:space="preserve">, </w:t>
      </w:r>
      <w:r>
        <w:rPr>
          <w:rFonts w:ascii="Consolas" w:cs="Consolas" w:eastAsia="Consolas" w:hAnsi="Consolas"/>
          <w:sz w:val="19"/>
          <w:szCs w:val="19"/>
        </w:rPr>
        <w:t xml:space="preserve">GV.RM-07</w:t>
      </w:r>
      <w:r>
        <w:rPr>
          <w:rFonts w:ascii="Georgia" w:cs="Georgia" w:eastAsia="Georgia" w:hAnsi="Georgia"/>
          <w:sz w:val="21"/>
          <w:szCs w:val="21"/>
        </w:rPr>
        <w:t xml:space="preserve">, </w:t>
      </w:r>
      <w:r>
        <w:rPr>
          <w:rFonts w:ascii="Consolas" w:cs="Consolas" w:eastAsia="Consolas" w:hAnsi="Consolas"/>
          <w:sz w:val="19"/>
          <w:szCs w:val="19"/>
        </w:rPr>
        <w:t xml:space="preserve">GV.RR-03</w:t>
      </w:r>
      <w:r>
        <w:rPr>
          <w:rFonts w:ascii="Georgia" w:cs="Georgia" w:eastAsia="Georgia" w:hAnsi="Georgia"/>
          <w:sz w:val="21"/>
          <w:szCs w:val="21"/>
        </w:rPr>
        <w:t xml:space="preserve">, </w:t>
      </w:r>
      <w:r>
        <w:rPr>
          <w:rFonts w:ascii="Consolas" w:cs="Consolas" w:eastAsia="Consolas" w:hAnsi="Consolas"/>
          <w:sz w:val="19"/>
          <w:szCs w:val="19"/>
        </w:rPr>
        <w:t xml:space="preserve">GV.SC-01</w:t>
      </w:r>
      <w:r>
        <w:rPr>
          <w:rFonts w:ascii="Georgia" w:cs="Georgia" w:eastAsia="Georgia" w:hAnsi="Georgia"/>
          <w:sz w:val="21"/>
          <w:szCs w:val="21"/>
        </w:rPr>
        <w:t xml:space="preserve">, </w:t>
      </w:r>
      <w:r>
        <w:rPr>
          <w:rFonts w:ascii="Consolas" w:cs="Consolas" w:eastAsia="Consolas" w:hAnsi="Consolas"/>
          <w:sz w:val="19"/>
          <w:szCs w:val="19"/>
        </w:rPr>
        <w:t xml:space="preserve">GV.SC-02</w:t>
      </w:r>
      <w:r>
        <w:rPr>
          <w:rFonts w:ascii="Georgia" w:cs="Georgia" w:eastAsia="Georgia" w:hAnsi="Georgia"/>
          <w:sz w:val="21"/>
          <w:szCs w:val="21"/>
        </w:rPr>
        <w:t xml:space="preserve">, </w:t>
      </w:r>
      <w:r>
        <w:rPr>
          <w:rFonts w:ascii="Consolas" w:cs="Consolas" w:eastAsia="Consolas" w:hAnsi="Consolas"/>
          <w:sz w:val="19"/>
          <w:szCs w:val="19"/>
        </w:rPr>
        <w:t xml:space="preserve">GV.SC-03</w:t>
      </w:r>
      <w:r>
        <w:rPr>
          <w:rFonts w:ascii="Georgia" w:cs="Georgia" w:eastAsia="Georgia" w:hAnsi="Georgia"/>
          <w:sz w:val="21"/>
          <w:szCs w:val="21"/>
        </w:rPr>
        <w:t xml:space="preserve">, </w:t>
      </w:r>
      <w:r>
        <w:rPr>
          <w:rFonts w:ascii="Consolas" w:cs="Consolas" w:eastAsia="Consolas" w:hAnsi="Consolas"/>
          <w:sz w:val="19"/>
          <w:szCs w:val="19"/>
        </w:rPr>
        <w:t xml:space="preserve">GV.SC-05</w:t>
      </w:r>
      <w:r>
        <w:rPr>
          <w:rFonts w:ascii="Georgia" w:cs="Georgia" w:eastAsia="Georgia" w:hAnsi="Georgia"/>
          <w:sz w:val="21"/>
          <w:szCs w:val="21"/>
        </w:rPr>
        <w:t xml:space="preserve">, </w:t>
      </w:r>
      <w:r>
        <w:rPr>
          <w:rFonts w:ascii="Consolas" w:cs="Consolas" w:eastAsia="Consolas" w:hAnsi="Consolas"/>
          <w:sz w:val="19"/>
          <w:szCs w:val="19"/>
        </w:rPr>
        <w:t xml:space="preserve">GV.SC-06</w:t>
      </w:r>
      <w:r>
        <w:rPr>
          <w:rFonts w:ascii="Georgia" w:cs="Georgia" w:eastAsia="Georgia" w:hAnsi="Georgia"/>
          <w:sz w:val="21"/>
          <w:szCs w:val="21"/>
        </w:rPr>
        <w:t xml:space="preserve">, </w:t>
      </w:r>
      <w:r>
        <w:rPr>
          <w:rFonts w:ascii="Consolas" w:cs="Consolas" w:eastAsia="Consolas" w:hAnsi="Consolas"/>
          <w:sz w:val="19"/>
          <w:szCs w:val="19"/>
        </w:rPr>
        <w:t xml:space="preserve">ID.AM-02</w:t>
      </w:r>
      <w:r>
        <w:rPr>
          <w:rFonts w:ascii="Georgia" w:cs="Georgia" w:eastAsia="Georgia" w:hAnsi="Georgia"/>
          <w:sz w:val="21"/>
          <w:szCs w:val="21"/>
        </w:rPr>
        <w:t xml:space="preserve">, </w:t>
      </w:r>
      <w:r>
        <w:rPr>
          <w:rFonts w:ascii="Consolas" w:cs="Consolas" w:eastAsia="Consolas" w:hAnsi="Consolas"/>
          <w:sz w:val="19"/>
          <w:szCs w:val="19"/>
        </w:rPr>
        <w:t xml:space="preserve">ID.IM-04</w:t>
      </w:r>
      <w:r>
        <w:rPr>
          <w:rFonts w:ascii="Georgia" w:cs="Georgia" w:eastAsia="Georgia" w:hAnsi="Georgia"/>
          <w:sz w:val="21"/>
          <w:szCs w:val="21"/>
        </w:rPr>
        <w:t xml:space="preserve">, </w:t>
      </w:r>
      <w:r>
        <w:rPr>
          <w:rFonts w:ascii="Consolas" w:cs="Consolas" w:eastAsia="Consolas" w:hAnsi="Consolas"/>
          <w:sz w:val="19"/>
          <w:szCs w:val="19"/>
        </w:rPr>
        <w:t xml:space="preserve">ID.RA-07</w:t>
      </w:r>
      <w:r>
        <w:rPr>
          <w:rFonts w:ascii="Georgia" w:cs="Georgia" w:eastAsia="Georgia" w:hAnsi="Georgia"/>
          <w:sz w:val="21"/>
          <w:szCs w:val="21"/>
        </w:rPr>
        <w:t xml:space="preserve">, </w:t>
      </w:r>
      <w:r>
        <w:rPr>
          <w:rFonts w:ascii="Consolas" w:cs="Consolas" w:eastAsia="Consolas" w:hAnsi="Consolas"/>
          <w:sz w:val="19"/>
          <w:szCs w:val="19"/>
        </w:rPr>
        <w:t xml:space="preserve">ID.RA-08</w:t>
      </w:r>
      <w:r>
        <w:rPr>
          <w:rFonts w:ascii="Georgia" w:cs="Georgia" w:eastAsia="Georgia" w:hAnsi="Georgia"/>
          <w:sz w:val="21"/>
          <w:szCs w:val="21"/>
        </w:rPr>
        <w:t xml:space="preserve">, </w:t>
      </w:r>
      <w:r>
        <w:rPr>
          <w:rFonts w:ascii="Consolas" w:cs="Consolas" w:eastAsia="Consolas" w:hAnsi="Consolas"/>
          <w:sz w:val="19"/>
          <w:szCs w:val="19"/>
        </w:rPr>
        <w:t xml:space="preserve">ID.RA-10</w:t>
      </w:r>
      <w:r>
        <w:rPr>
          <w:rFonts w:ascii="Georgia" w:cs="Georgia" w:eastAsia="Georgia" w:hAnsi="Georgia"/>
          <w:sz w:val="21"/>
          <w:szCs w:val="21"/>
        </w:rPr>
        <w:t xml:space="preserve">, </w:t>
      </w:r>
      <w:r>
        <w:rPr>
          <w:rFonts w:ascii="Consolas" w:cs="Consolas" w:eastAsia="Consolas" w:hAnsi="Consolas"/>
          <w:sz w:val="19"/>
          <w:szCs w:val="19"/>
        </w:rPr>
        <w:t xml:space="preserve">PR.DS-02</w:t>
      </w:r>
      <w:r>
        <w:rPr>
          <w:rFonts w:ascii="Georgia" w:cs="Georgia" w:eastAsia="Georgia" w:hAnsi="Georgia"/>
          <w:sz w:val="21"/>
          <w:szCs w:val="21"/>
        </w:rPr>
        <w:t xml:space="preserve">, </w:t>
      </w:r>
      <w:r>
        <w:rPr>
          <w:rFonts w:ascii="Consolas" w:cs="Consolas" w:eastAsia="Consolas" w:hAnsi="Consolas"/>
          <w:sz w:val="19"/>
          <w:szCs w:val="19"/>
        </w:rPr>
        <w:t xml:space="preserve">PR.DS-10</w:t>
      </w:r>
      <w:r>
        <w:rPr>
          <w:rFonts w:ascii="Georgia" w:cs="Georgia" w:eastAsia="Georgia" w:hAnsi="Georgia"/>
          <w:sz w:val="21"/>
          <w:szCs w:val="21"/>
        </w:rPr>
        <w:t xml:space="preserve">, </w:t>
      </w:r>
      <w:r>
        <w:rPr>
          <w:rFonts w:ascii="Consolas" w:cs="Consolas" w:eastAsia="Consolas" w:hAnsi="Consolas"/>
          <w:sz w:val="19"/>
          <w:szCs w:val="19"/>
        </w:rPr>
        <w:t xml:space="preserve">PR.IR-03</w:t>
      </w:r>
      <w:r>
        <w:rPr>
          <w:rFonts w:ascii="Georgia" w:cs="Georgia" w:eastAsia="Georgia" w:hAnsi="Georgia"/>
          <w:sz w:val="21"/>
          <w:szCs w:val="21"/>
        </w:rPr>
        <w:t xml:space="preserve">, </w:t>
      </w:r>
      <w:r>
        <w:rPr>
          <w:rFonts w:ascii="Consolas" w:cs="Consolas" w:eastAsia="Consolas" w:hAnsi="Consolas"/>
          <w:sz w:val="19"/>
          <w:szCs w:val="19"/>
        </w:rPr>
        <w:t xml:space="preserve">PR.PS-04</w:t>
      </w:r>
      <w:r>
        <w:rPr>
          <w:rFonts w:ascii="Georgia" w:cs="Georgia" w:eastAsia="Georgia" w:hAnsi="Georgia"/>
          <w:sz w:val="21"/>
          <w:szCs w:val="21"/>
        </w:rPr>
        <w:t xml:space="preserve">, </w:t>
      </w:r>
      <w:r>
        <w:rPr>
          <w:rFonts w:ascii="Consolas" w:cs="Consolas" w:eastAsia="Consolas" w:hAnsi="Consolas"/>
          <w:sz w:val="19"/>
          <w:szCs w:val="19"/>
        </w:rPr>
        <w:t xml:space="preserve">PR.PS-05</w:t>
      </w:r>
      <w:r>
        <w:rPr>
          <w:rFonts w:ascii="Georgia" w:cs="Georgia" w:eastAsia="Georgia" w:hAnsi="Georgia"/>
          <w:sz w:val="21"/>
          <w:szCs w:val="21"/>
        </w:rPr>
        <w:t xml:space="preserve">, </w:t>
      </w:r>
      <w:r>
        <w:rPr>
          <w:rFonts w:ascii="Consolas" w:cs="Consolas" w:eastAsia="Consolas" w:hAnsi="Consolas"/>
          <w:sz w:val="19"/>
          <w:szCs w:val="19"/>
        </w:rPr>
        <w:t xml:space="preserve">PR.PS-06</w:t>
      </w:r>
    </w:p>
    <w:p>
      <w:pPr>
        <w:spacing w:after="130" w:line="278"/>
      </w:pPr>
      <w:r>
        <w:rPr>
          <w:rFonts w:ascii="Georgia" w:cs="Georgia" w:eastAsia="Georgia" w:hAnsi="Georgia"/>
          <w:sz w:val="21"/>
          <w:szCs w:val="21"/>
        </w:rPr>
        <w:t xml:space="preserve">These are enterprise risk management, policy lifecycle, procurement governance and platform hygiene outcomes that the 800-53 baseline already addresses and that carry no maneuver dimension. The recommendation is not to write controls for them but to </w:t>
      </w:r>
      <w:r>
        <w:rPr>
          <w:rFonts w:ascii="Georgia" w:cs="Georgia" w:eastAsia="Georgia" w:hAnsi="Georgia"/>
          <w:b/>
          <w:bCs/>
          <w:sz w:val="21"/>
          <w:szCs w:val="21"/>
        </w:rPr>
        <w:t xml:space="preserve">record the exclusion</w:t>
      </w:r>
      <w:r>
        <w:rPr>
          <w:rFonts w:ascii="Georgia" w:cs="Georgia" w:eastAsia="Georgia" w:hAnsi="Georgia"/>
          <w:sz w:val="21"/>
          <w:szCs w:val="21"/>
        </w:rPr>
        <w:t xml:space="preserve">, so that 55% reverse coverage reads as a stated scope rather than as an unexamined shortfall.</w:t>
      </w:r>
    </w:p>
    <w:p>
      <w:pPr>
        <w:pBdr>
          <w:bottom w:val="single" w:color="BFBFBF" w:sz="6"/>
        </w:pBdr>
        <w:spacing w:after="200" w:before="100"/>
      </w:pPr>
      <w:r>
        <w:rPr>
          <w:sz w:val="2"/>
          <w:szCs w:val="2"/>
        </w:rPr>
        <w:t xml:space="preserve"/>
      </w:r>
    </w:p>
    <w:p>
      <w:pPr>
        <w:pStyle w:val="Heading2"/>
        <w:spacing w:after="150" w:before="300"/>
      </w:pPr>
      <w:r>
        <w:rPr>
          <w:rFonts w:ascii="Georgia" w:cs="Georgia" w:eastAsia="Georgia" w:hAnsi="Georgia"/>
          <w:b/>
          <w:bCs/>
        </w:rPr>
        <w:t xml:space="preserve">4. D3FEND reverse coverage — 6 of 7 tactics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368"/>
        <w:gridCol w:w="4992"/>
      </w:tblGrid>
      <w:tr>
        <w:trPr>
          <w:tblHeader/>
        </w:trPr>
        <w:tc>
          <w:tcPr>
            <w:tcW w:type="dxa" w:w="4368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Tactic</w:t>
            </w:r>
          </w:p>
        </w:tc>
        <w:tc>
          <w:tcPr>
            <w:tcW w:type="dxa" w:w="4992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Controls</w:t>
            </w:r>
          </w:p>
        </w:tc>
      </w:tr>
      <w:tr>
        <w:tc>
          <w:tcPr>
            <w:tcW w:type="dxa" w:w="436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Model</w:t>
            </w:r>
          </w:p>
        </w:tc>
        <w:tc>
          <w:tcPr>
            <w:tcW w:type="dxa" w:w="499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20</w:t>
            </w:r>
          </w:p>
        </w:tc>
      </w:tr>
      <w:tr>
        <w:tc>
          <w:tcPr>
            <w:tcW w:type="dxa" w:w="436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Isolate</w:t>
            </w:r>
          </w:p>
        </w:tc>
        <w:tc>
          <w:tcPr>
            <w:tcW w:type="dxa" w:w="499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16</w:t>
            </w:r>
          </w:p>
        </w:tc>
      </w:tr>
      <w:tr>
        <w:tc>
          <w:tcPr>
            <w:tcW w:type="dxa" w:w="436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Detect</w:t>
            </w:r>
          </w:p>
        </w:tc>
        <w:tc>
          <w:tcPr>
            <w:tcW w:type="dxa" w:w="499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14</w:t>
            </w:r>
          </w:p>
        </w:tc>
      </w:tr>
      <w:tr>
        <w:tc>
          <w:tcPr>
            <w:tcW w:type="dxa" w:w="436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Harden</w:t>
            </w:r>
          </w:p>
        </w:tc>
        <w:tc>
          <w:tcPr>
            <w:tcW w:type="dxa" w:w="499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6</w:t>
            </w:r>
          </w:p>
        </w:tc>
      </w:tr>
      <w:tr>
        <w:tc>
          <w:tcPr>
            <w:tcW w:type="dxa" w:w="436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Evict</w:t>
            </w:r>
          </w:p>
        </w:tc>
        <w:tc>
          <w:tcPr>
            <w:tcW w:type="dxa" w:w="499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6</w:t>
            </w:r>
          </w:p>
        </w:tc>
      </w:tr>
      <w:tr>
        <w:tc>
          <w:tcPr>
            <w:tcW w:type="dxa" w:w="436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Restore</w:t>
            </w:r>
          </w:p>
        </w:tc>
        <w:tc>
          <w:tcPr>
            <w:tcW w:type="dxa" w:w="499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6</w:t>
            </w:r>
          </w:p>
        </w:tc>
      </w:tr>
      <w:tr>
        <w:tc>
          <w:tcPr>
            <w:tcW w:type="dxa" w:w="436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Deceive</w:t>
            </w:r>
          </w:p>
        </w:tc>
        <w:tc>
          <w:tcPr>
            <w:tcW w:type="dxa" w:w="499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0</w:t>
            </w:r>
          </w:p>
        </w:tc>
      </w:tr>
    </w:tbl>
    <w:p>
      <w:pPr>
        <w:spacing w:after="90" w:line="278"/>
      </w:pPr>
      <w:r>
        <w:rPr>
          <w:rFonts w:ascii="Georgia" w:cs="Georgia" w:eastAsia="Georgia" w:hAnsi="Georgia"/>
          <w:sz w:val="21"/>
          <w:szCs w:val="21"/>
        </w:rPr>
        <w:t xml:space="preserve"/>
      </w:r>
    </w:p>
    <w:p>
      <w:pPr>
        <w:pStyle w:val="Heading3"/>
        <w:spacing w:after="150" w:before="300"/>
      </w:pPr>
      <w:r>
        <w:rPr>
          <w:rFonts w:ascii="Georgia" w:cs="Georgia" w:eastAsia="Georgia" w:hAnsi="Georgia"/>
          <w:b/>
          <w:bCs/>
        </w:rPr>
        <w:t xml:space="preserve">Deception is unassessed</w:t>
      </w:r>
    </w:p>
    <w:p>
      <w:pPr>
        <w:spacing w:after="130" w:line="278"/>
      </w:pPr>
      <w:r>
        <w:rPr>
          <w:rFonts w:ascii="Consolas" w:cs="Consolas" w:eastAsia="Consolas" w:hAnsi="Consolas"/>
          <w:sz w:val="19"/>
          <w:szCs w:val="19"/>
        </w:rPr>
        <w:t xml:space="preserve">M5</w:t>
      </w:r>
      <w:r>
        <w:rPr>
          <w:rFonts w:ascii="Georgia" w:cs="Georgia" w:eastAsia="Georgia" w:hAnsi="Georgia"/>
          <w:sz w:val="21"/>
          <w:szCs w:val="21"/>
        </w:rPr>
        <w:t xml:space="preserve"> Ambush is a full form of maneuver with </w:t>
      </w:r>
      <w:r>
        <w:rPr>
          <w:rFonts w:ascii="Georgia" w:cs="Georgia" w:eastAsia="Georgia" w:hAnsi="Georgia"/>
          <w:b/>
          <w:bCs/>
          <w:sz w:val="21"/>
          <w:szCs w:val="21"/>
        </w:rPr>
        <w:t xml:space="preserve">13 techniques</w:t>
      </w:r>
      <w:r>
        <w:rPr>
          <w:rFonts w:ascii="Georgia" w:cs="Georgia" w:eastAsia="Georgia" w:hAnsi="Georgia"/>
          <w:sz w:val="21"/>
          <w:szCs w:val="21"/>
        </w:rPr>
        <w:t xml:space="preserve">, described in the framework's own reference material as </w:t>
      </w:r>
      <w:r>
        <w:rPr>
          <w:rFonts w:ascii="Georgia" w:cs="Georgia" w:eastAsia="Georgia" w:hAnsi="Georgia"/>
          <w:i/>
          <w:iCs/>
          <w:sz w:val="21"/>
          <w:szCs w:val="21"/>
        </w:rPr>
        <w:t xml:space="preserve">the cheapest high-confidence detection available</w:t>
      </w:r>
      <w:r>
        <w:rPr>
          <w:rFonts w:ascii="Georgia" w:cs="Georgia" w:eastAsia="Georgia" w:hAnsi="Georgia"/>
          <w:sz w:val="21"/>
          <w:szCs w:val="21"/>
        </w:rPr>
        <w:t xml:space="preserve">, and carrying a deception grid as the dominant effort of Phase I Deter. </w:t>
      </w:r>
      <w:r>
        <w:rPr>
          <w:rFonts w:ascii="Georgia" w:cs="Georgia" w:eastAsia="Georgia" w:hAnsi="Georgia"/>
          <w:b/>
          <w:bCs/>
          <w:sz w:val="21"/>
          <w:szCs w:val="21"/>
        </w:rPr>
        <w:t xml:space="preserve">No control in the sixty assesses it.</w:t>
      </w:r>
    </w:p>
    <w:p>
      <w:pPr>
        <w:spacing w:after="130" w:line="278"/>
      </w:pPr>
      <w:r>
        <w:rPr>
          <w:rFonts w:ascii="Georgia" w:cs="Georgia" w:eastAsia="Georgia" w:hAnsi="Georgia"/>
          <w:sz w:val="21"/>
          <w:szCs w:val="21"/>
        </w:rPr>
        <w:t xml:space="preserve">An agency could stand up a complete deception grid, or none at all, and the control set would score identically. This is the sharpest single reverse-coverage finding in this analysis, and it compounds the Detect and Respond thinness rather than being independent of it — deception is precisely the cheap detection that would improve both.</w:t>
      </w:r>
    </w:p>
    <w:p>
      <w:pPr>
        <w:pStyle w:val="Heading3"/>
        <w:spacing w:after="150" w:before="300"/>
      </w:pPr>
      <w:r>
        <w:rPr>
          <w:rFonts w:ascii="Georgia" w:cs="Georgia" w:eastAsia="Georgia" w:hAnsi="Georgia"/>
          <w:b/>
          <w:bCs/>
        </w:rPr>
        <w:t xml:space="preserve">14 controls carry no D3FEND tactic</w:t>
      </w:r>
    </w:p>
    <w:p>
      <w:pPr>
        <w:spacing w:after="130" w:line="278"/>
      </w:pPr>
      <w:r>
        <w:rPr>
          <w:rFonts w:ascii="Consolas" w:cs="Consolas" w:eastAsia="Consolas" w:hAnsi="Consolas"/>
          <w:sz w:val="19"/>
          <w:szCs w:val="19"/>
        </w:rPr>
        <w:t xml:space="preserve">SM-1</w:t>
      </w:r>
      <w:r>
        <w:rPr>
          <w:rFonts w:ascii="Georgia" w:cs="Georgia" w:eastAsia="Georgia" w:hAnsi="Georgia"/>
          <w:sz w:val="21"/>
          <w:szCs w:val="21"/>
        </w:rPr>
        <w:t xml:space="preserve">, </w:t>
      </w:r>
      <w:r>
        <w:rPr>
          <w:rFonts w:ascii="Consolas" w:cs="Consolas" w:eastAsia="Consolas" w:hAnsi="Consolas"/>
          <w:sz w:val="19"/>
          <w:szCs w:val="19"/>
        </w:rPr>
        <w:t xml:space="preserve">SM-3</w:t>
      </w:r>
      <w:r>
        <w:rPr>
          <w:rFonts w:ascii="Georgia" w:cs="Georgia" w:eastAsia="Georgia" w:hAnsi="Georgia"/>
          <w:sz w:val="21"/>
          <w:szCs w:val="21"/>
        </w:rPr>
        <w:t xml:space="preserve">, </w:t>
      </w:r>
      <w:r>
        <w:rPr>
          <w:rFonts w:ascii="Consolas" w:cs="Consolas" w:eastAsia="Consolas" w:hAnsi="Consolas"/>
          <w:sz w:val="19"/>
          <w:szCs w:val="19"/>
        </w:rPr>
        <w:t xml:space="preserve">SM-4</w:t>
      </w:r>
      <w:r>
        <w:rPr>
          <w:rFonts w:ascii="Georgia" w:cs="Georgia" w:eastAsia="Georgia" w:hAnsi="Georgia"/>
          <w:sz w:val="21"/>
          <w:szCs w:val="21"/>
        </w:rPr>
        <w:t xml:space="preserve">, </w:t>
      </w:r>
      <w:r>
        <w:rPr>
          <w:rFonts w:ascii="Consolas" w:cs="Consolas" w:eastAsia="Consolas" w:hAnsi="Consolas"/>
          <w:sz w:val="19"/>
          <w:szCs w:val="19"/>
        </w:rPr>
        <w:t xml:space="preserve">SM-6</w:t>
      </w:r>
      <w:r>
        <w:rPr>
          <w:rFonts w:ascii="Georgia" w:cs="Georgia" w:eastAsia="Georgia" w:hAnsi="Georgia"/>
          <w:sz w:val="21"/>
          <w:szCs w:val="21"/>
        </w:rPr>
        <w:t xml:space="preserve">, </w:t>
      </w:r>
      <w:r>
        <w:rPr>
          <w:rFonts w:ascii="Consolas" w:cs="Consolas" w:eastAsia="Consolas" w:hAnsi="Consolas"/>
          <w:sz w:val="19"/>
          <w:szCs w:val="19"/>
        </w:rPr>
        <w:t xml:space="preserve">TA-3</w:t>
      </w:r>
      <w:r>
        <w:rPr>
          <w:rFonts w:ascii="Georgia" w:cs="Georgia" w:eastAsia="Georgia" w:hAnsi="Georgia"/>
          <w:sz w:val="21"/>
          <w:szCs w:val="21"/>
        </w:rPr>
        <w:t xml:space="preserve">, </w:t>
      </w:r>
      <w:r>
        <w:rPr>
          <w:rFonts w:ascii="Consolas" w:cs="Consolas" w:eastAsia="Consolas" w:hAnsi="Consolas"/>
          <w:sz w:val="19"/>
          <w:szCs w:val="19"/>
        </w:rPr>
        <w:t xml:space="preserve">TA-5</w:t>
      </w:r>
      <w:r>
        <w:rPr>
          <w:rFonts w:ascii="Georgia" w:cs="Georgia" w:eastAsia="Georgia" w:hAnsi="Georgia"/>
          <w:sz w:val="21"/>
          <w:szCs w:val="21"/>
        </w:rPr>
        <w:t xml:space="preserve">, </w:t>
      </w:r>
      <w:r>
        <w:rPr>
          <w:rFonts w:ascii="Consolas" w:cs="Consolas" w:eastAsia="Consolas" w:hAnsi="Consolas"/>
          <w:sz w:val="19"/>
          <w:szCs w:val="19"/>
        </w:rPr>
        <w:t xml:space="preserve">CE-5</w:t>
      </w:r>
      <w:r>
        <w:rPr>
          <w:rFonts w:ascii="Georgia" w:cs="Georgia" w:eastAsia="Georgia" w:hAnsi="Georgia"/>
          <w:sz w:val="21"/>
          <w:szCs w:val="21"/>
        </w:rPr>
        <w:t xml:space="preserve">, </w:t>
      </w:r>
      <w:r>
        <w:rPr>
          <w:rFonts w:ascii="Consolas" w:cs="Consolas" w:eastAsia="Consolas" w:hAnsi="Consolas"/>
          <w:sz w:val="19"/>
          <w:szCs w:val="19"/>
        </w:rPr>
        <w:t xml:space="preserve">CE-6</w:t>
      </w:r>
      <w:r>
        <w:rPr>
          <w:rFonts w:ascii="Georgia" w:cs="Georgia" w:eastAsia="Georgia" w:hAnsi="Georgia"/>
          <w:sz w:val="21"/>
          <w:szCs w:val="21"/>
        </w:rPr>
        <w:t xml:space="preserve">, </w:t>
      </w:r>
      <w:r>
        <w:rPr>
          <w:rFonts w:ascii="Consolas" w:cs="Consolas" w:eastAsia="Consolas" w:hAnsi="Consolas"/>
          <w:sz w:val="19"/>
          <w:szCs w:val="19"/>
        </w:rPr>
        <w:t xml:space="preserve">CE-7</w:t>
      </w:r>
      <w:r>
        <w:rPr>
          <w:rFonts w:ascii="Georgia" w:cs="Georgia" w:eastAsia="Georgia" w:hAnsi="Georgia"/>
          <w:sz w:val="21"/>
          <w:szCs w:val="21"/>
        </w:rPr>
        <w:t xml:space="preserve">, </w:t>
      </w:r>
      <w:r>
        <w:rPr>
          <w:rFonts w:ascii="Consolas" w:cs="Consolas" w:eastAsia="Consolas" w:hAnsi="Consolas"/>
          <w:sz w:val="19"/>
          <w:szCs w:val="19"/>
        </w:rPr>
        <w:t xml:space="preserve">CG-1</w:t>
      </w:r>
      <w:r>
        <w:rPr>
          <w:rFonts w:ascii="Georgia" w:cs="Georgia" w:eastAsia="Georgia" w:hAnsi="Georgia"/>
          <w:sz w:val="21"/>
          <w:szCs w:val="21"/>
        </w:rPr>
        <w:t xml:space="preserve">, </w:t>
      </w:r>
      <w:r>
        <w:rPr>
          <w:rFonts w:ascii="Consolas" w:cs="Consolas" w:eastAsia="Consolas" w:hAnsi="Consolas"/>
          <w:sz w:val="19"/>
          <w:szCs w:val="19"/>
        </w:rPr>
        <w:t xml:space="preserve">CG-2</w:t>
      </w:r>
      <w:r>
        <w:rPr>
          <w:rFonts w:ascii="Georgia" w:cs="Georgia" w:eastAsia="Georgia" w:hAnsi="Georgia"/>
          <w:sz w:val="21"/>
          <w:szCs w:val="21"/>
        </w:rPr>
        <w:t xml:space="preserve">, </w:t>
      </w:r>
      <w:r>
        <w:rPr>
          <w:rFonts w:ascii="Consolas" w:cs="Consolas" w:eastAsia="Consolas" w:hAnsi="Consolas"/>
          <w:sz w:val="19"/>
          <w:szCs w:val="19"/>
        </w:rPr>
        <w:t xml:space="preserve">CG-4</w:t>
      </w:r>
      <w:r>
        <w:rPr>
          <w:rFonts w:ascii="Georgia" w:cs="Georgia" w:eastAsia="Georgia" w:hAnsi="Georgia"/>
          <w:sz w:val="21"/>
          <w:szCs w:val="21"/>
        </w:rPr>
        <w:t xml:space="preserve">, </w:t>
      </w:r>
      <w:r>
        <w:rPr>
          <w:rFonts w:ascii="Consolas" w:cs="Consolas" w:eastAsia="Consolas" w:hAnsi="Consolas"/>
          <w:sz w:val="19"/>
          <w:szCs w:val="19"/>
        </w:rPr>
        <w:t xml:space="preserve">CG-5</w:t>
      </w:r>
      <w:r>
        <w:rPr>
          <w:rFonts w:ascii="Georgia" w:cs="Georgia" w:eastAsia="Georgia" w:hAnsi="Georgia"/>
          <w:sz w:val="21"/>
          <w:szCs w:val="21"/>
        </w:rPr>
        <w:t xml:space="preserve">, </w:t>
      </w:r>
      <w:r>
        <w:rPr>
          <w:rFonts w:ascii="Consolas" w:cs="Consolas" w:eastAsia="Consolas" w:hAnsi="Consolas"/>
          <w:sz w:val="19"/>
          <w:szCs w:val="19"/>
        </w:rPr>
        <w:t xml:space="preserve">FO-5</w:t>
      </w:r>
      <w:r>
        <w:rPr>
          <w:rFonts w:ascii="Georgia" w:cs="Georgia" w:eastAsia="Georgia" w:hAnsi="Georgia"/>
          <w:sz w:val="21"/>
          <w:szCs w:val="21"/>
        </w:rPr>
        <w:t xml:space="preserve">.</w:t>
      </w:r>
    </w:p>
    <w:p>
      <w:pPr>
        <w:spacing w:after="130" w:line="278"/>
      </w:pPr>
      <w:r>
        <w:rPr>
          <w:rFonts w:ascii="Georgia" w:cs="Georgia" w:eastAsia="Georgia" w:hAnsi="Georgia"/>
          <w:sz w:val="21"/>
          <w:szCs w:val="21"/>
        </w:rPr>
        <w:t xml:space="preserve">These are planning and governance controls, and D3FEND is a countermeasure ontology with nothing to map to for most of them. That is defensible — but it should be recorded as an explicit </w:t>
      </w:r>
      <w:r>
        <w:rPr>
          <w:rFonts w:ascii="Georgia" w:cs="Georgia" w:eastAsia="Georgia" w:hAnsi="Georgia"/>
          <w:i/>
          <w:iCs/>
          <w:sz w:val="21"/>
          <w:szCs w:val="21"/>
        </w:rPr>
        <w:t xml:space="preserve">not applicable, planning layer</w:t>
      </w:r>
      <w:r>
        <w:rPr>
          <w:rFonts w:ascii="Georgia" w:cs="Georgia" w:eastAsia="Georgia" w:hAnsi="Georgia"/>
          <w:sz w:val="21"/>
          <w:szCs w:val="21"/>
        </w:rPr>
        <w:t xml:space="preserve"> rather than as an em-dash, so an absent mapping is distinguishable from a forgotten one.</w:t>
      </w:r>
    </w:p>
    <w:p>
      <w:pPr>
        <w:pBdr>
          <w:bottom w:val="single" w:color="BFBFBF" w:sz="6"/>
        </w:pBdr>
        <w:spacing w:after="200" w:before="100"/>
      </w:pPr>
      <w:r>
        <w:rPr>
          <w:sz w:val="2"/>
          <w:szCs w:val="2"/>
        </w:rPr>
        <w:t xml:space="preserve"/>
      </w:r>
    </w:p>
    <w:p>
      <w:pPr>
        <w:pStyle w:val="Heading2"/>
        <w:spacing w:after="150" w:before="300"/>
      </w:pPr>
      <w:r>
        <w:rPr>
          <w:rFonts w:ascii="Georgia" w:cs="Georgia" w:eastAsia="Georgia" w:hAnsi="Georgia"/>
          <w:b/>
          <w:bCs/>
        </w:rPr>
        <w:t xml:space="preserve">5. SP 800-53 — reach, not coverage</w:t>
      </w:r>
    </w:p>
    <w:p>
      <w:pPr>
        <w:spacing w:after="130" w:line="278"/>
      </w:pPr>
      <w:r>
        <w:rPr>
          <w:rFonts w:ascii="Georgia" w:cs="Georgia" w:eastAsia="Georgia" w:hAnsi="Georgia"/>
          <w:sz w:val="21"/>
          <w:szCs w:val="21"/>
        </w:rPr>
        <w:t xml:space="preserve">20/20 families reached. Thinnest citations: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28"/>
        <w:gridCol w:w="2717"/>
        <w:gridCol w:w="2415"/>
      </w:tblGrid>
      <w:tr>
        <w:trPr>
          <w:tblHeader/>
        </w:trPr>
        <w:tc>
          <w:tcPr>
            <w:tcW w:type="dxa" w:w="4228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Family</w:t>
            </w:r>
          </w:p>
        </w:tc>
        <w:tc>
          <w:tcPr>
            <w:tcW w:type="dxa" w:w="2717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Citations</w:t>
            </w:r>
          </w:p>
        </w:tc>
        <w:tc>
          <w:tcPr>
            <w:tcW w:type="dxa" w:w="2415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Controls</w:t>
            </w:r>
          </w:p>
        </w:tc>
      </w:tr>
      <w:tr>
        <w:tc>
          <w:tcPr>
            <w:tcW w:type="dxa" w:w="422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MP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Media Protection</w:t>
            </w:r>
          </w:p>
        </w:tc>
        <w:tc>
          <w:tcPr>
            <w:tcW w:type="dxa" w:w="271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</w:t>
            </w:r>
          </w:p>
        </w:tc>
        <w:tc>
          <w:tcPr>
            <w:tcW w:type="dxa" w:w="241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FO-2</w:t>
            </w:r>
          </w:p>
        </w:tc>
      </w:tr>
      <w:tr>
        <w:tc>
          <w:tcPr>
            <w:tcW w:type="dxa" w:w="422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IA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Identification and Authentication</w:t>
            </w:r>
          </w:p>
        </w:tc>
        <w:tc>
          <w:tcPr>
            <w:tcW w:type="dxa" w:w="271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</w:t>
            </w:r>
          </w:p>
        </w:tc>
        <w:tc>
          <w:tcPr>
            <w:tcW w:type="dxa" w:w="241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WF-2</w:t>
            </w:r>
          </w:p>
        </w:tc>
      </w:tr>
      <w:tr>
        <w:tc>
          <w:tcPr>
            <w:tcW w:type="dxa" w:w="422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PT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PII Processing and Transparency</w:t>
            </w:r>
          </w:p>
        </w:tc>
        <w:tc>
          <w:tcPr>
            <w:tcW w:type="dxa" w:w="271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2</w:t>
            </w:r>
          </w:p>
        </w:tc>
        <w:tc>
          <w:tcPr>
            <w:tcW w:type="dxa" w:w="241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FO-1</w:t>
            </w:r>
          </w:p>
        </w:tc>
      </w:tr>
      <w:tr>
        <w:tc>
          <w:tcPr>
            <w:tcW w:type="dxa" w:w="422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AT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Awareness and Training</w:t>
            </w:r>
          </w:p>
        </w:tc>
        <w:tc>
          <w:tcPr>
            <w:tcW w:type="dxa" w:w="271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3</w:t>
            </w:r>
          </w:p>
        </w:tc>
        <w:tc>
          <w:tcPr>
            <w:tcW w:type="dxa" w:w="241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WF-1, WF-3</w:t>
            </w:r>
          </w:p>
        </w:tc>
      </w:tr>
      <w:tr>
        <w:tc>
          <w:tcPr>
            <w:tcW w:type="dxa" w:w="422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Maintenance</w:t>
            </w:r>
          </w:p>
        </w:tc>
        <w:tc>
          <w:tcPr>
            <w:tcW w:type="dxa" w:w="271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3</w:t>
            </w:r>
          </w:p>
        </w:tc>
        <w:tc>
          <w:tcPr>
            <w:tcW w:type="dxa" w:w="241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FC-3</w:t>
            </w:r>
          </w:p>
        </w:tc>
      </w:tr>
    </w:tbl>
    <w:p>
      <w:pPr>
        <w:spacing w:after="90" w:line="278"/>
      </w:pPr>
      <w:r>
        <w:rPr>
          <w:rFonts w:ascii="Georgia" w:cs="Georgia" w:eastAsia="Georgia" w:hAnsi="Georgia"/>
          <w:sz w:val="21"/>
          <w:szCs w:val="21"/>
        </w:rPr>
        <w:t xml:space="preserve"/>
      </w:r>
    </w:p>
    <w:p>
      <w:pPr>
        <w:spacing w:after="130" w:line="278"/>
      </w:pPr>
      <w:r>
        <w:rPr>
          <w:rFonts w:ascii="Consolas" w:cs="Consolas" w:eastAsia="Consolas" w:hAnsi="Consolas"/>
          <w:sz w:val="19"/>
          <w:szCs w:val="19"/>
        </w:rPr>
        <w:t xml:space="preserve">IA</w:t>
      </w:r>
      <w:r>
        <w:rPr>
          <w:rFonts w:ascii="Georgia" w:cs="Georgia" w:eastAsia="Georgia" w:hAnsi="Georgia"/>
          <w:sz w:val="21"/>
          <w:szCs w:val="21"/>
        </w:rPr>
        <w:t xml:space="preserve"> at a single citation remains the standing finding: identity is </w:t>
      </w:r>
      <w:r>
        <w:rPr>
          <w:rFonts w:ascii="Consolas" w:cs="Consolas" w:eastAsia="Consolas" w:hAnsi="Consolas"/>
          <w:sz w:val="19"/>
          <w:szCs w:val="19"/>
        </w:rPr>
        <w:t xml:space="preserve">T1</w:t>
      </w:r>
      <w:r>
        <w:rPr>
          <w:rFonts w:ascii="Georgia" w:cs="Georgia" w:eastAsia="Georgia" w:hAnsi="Georgia"/>
          <w:sz w:val="21"/>
          <w:szCs w:val="21"/>
        </w:rPr>
        <w:t xml:space="preserve">, the declared high ground and the plane </w:t>
      </w:r>
      <w:r>
        <w:rPr>
          <w:rFonts w:ascii="Consolas" w:cs="Consolas" w:eastAsia="Consolas" w:hAnsi="Consolas"/>
          <w:sz w:val="19"/>
          <w:szCs w:val="19"/>
        </w:rPr>
        <w:t xml:space="preserve">M3</w:t>
      </w:r>
      <w:r>
        <w:rPr>
          <w:rFonts w:ascii="Georgia" w:cs="Georgia" w:eastAsia="Georgia" w:hAnsi="Georgia"/>
          <w:sz w:val="21"/>
          <w:szCs w:val="21"/>
        </w:rPr>
        <w:t xml:space="preserve"> Envelopment makes decisive, and the catalog reaches its 800-53 family once, incidentally, through a workforce control. The </w:t>
      </w:r>
      <w:r>
        <w:rPr>
          <w:rFonts w:ascii="Consolas" w:cs="Consolas" w:eastAsia="Consolas" w:hAnsi="Consolas"/>
          <w:sz w:val="19"/>
          <w:szCs w:val="19"/>
        </w:rPr>
        <w:t xml:space="preserve">PR.AA-02/03/04</w:t>
      </w:r>
      <w:r>
        <w:rPr>
          <w:rFonts w:ascii="Georgia" w:cs="Georgia" w:eastAsia="Georgia" w:hAnsi="Georgia"/>
          <w:sz w:val="21"/>
          <w:szCs w:val="21"/>
        </w:rPr>
        <w:t xml:space="preserve"> gaps above are the same finding expressed in CSF terms.</w:t>
      </w:r>
    </w:p>
    <w:p>
      <w:pPr>
        <w:pBdr>
          <w:bottom w:val="single" w:color="BFBFBF" w:sz="6"/>
        </w:pBdr>
        <w:spacing w:after="200" w:before="100"/>
      </w:pPr>
      <w:r>
        <w:rPr>
          <w:sz w:val="2"/>
          <w:szCs w:val="2"/>
        </w:rPr>
        <w:t xml:space="preserve"/>
      </w:r>
    </w:p>
    <w:p>
      <w:pPr>
        <w:pStyle w:val="Heading2"/>
        <w:spacing w:after="150" w:before="300"/>
      </w:pPr>
      <w:r>
        <w:rPr>
          <w:rFonts w:ascii="Georgia" w:cs="Georgia" w:eastAsia="Georgia" w:hAnsi="Georgia"/>
          <w:b/>
          <w:bCs/>
        </w:rPr>
        <w:t xml:space="preserve">6. Recommendations</w:t>
      </w:r>
    </w:p>
    <w:p>
      <w:pPr>
        <w:spacing w:after="70" w:line="272"/>
        <w:ind w:left="431" w:hanging="316"/>
      </w:pPr>
      <w:r>
        <w:rPr>
          <w:rFonts w:ascii="Georgia" w:cs="Georgia" w:eastAsia="Georgia" w:hAnsi="Georgia"/>
          <w:sz w:val="21"/>
          <w:szCs w:val="21"/>
        </w:rPr>
        <w:t xml:space="preserve">1.  </w:t>
      </w:r>
      <w:r>
        <w:rPr>
          <w:rFonts w:ascii="Georgia" w:cs="Georgia" w:eastAsia="Georgia" w:hAnsi="Georgia"/>
          <w:b/>
          <w:bCs/>
          <w:sz w:val="21"/>
          <w:szCs w:val="21"/>
        </w:rPr>
        <w:t xml:space="preserve">Ratify the two CSF corrections</w:t>
      </w:r>
      <w:r>
        <w:rPr>
          <w:rFonts w:ascii="Georgia" w:cs="Georgia" w:eastAsia="Georgia" w:hAnsi="Georgia"/>
          <w:sz w:val="21"/>
          <w:szCs w:val="21"/>
        </w:rPr>
        <w:t xml:space="preserve"> and reissue the published CSV and DOCX — they currently ship retired CSF 1.1 identifiers.</w:t>
      </w:r>
    </w:p>
    <w:p>
      <w:pPr>
        <w:spacing w:after="70" w:line="272"/>
        <w:ind w:left="431" w:hanging="316"/>
      </w:pPr>
      <w:r>
        <w:rPr>
          <w:rFonts w:ascii="Georgia" w:cs="Georgia" w:eastAsia="Georgia" w:hAnsi="Georgia"/>
          <w:sz w:val="21"/>
          <w:szCs w:val="21"/>
        </w:rPr>
        <w:t xml:space="preserve">2.  </w:t>
      </w:r>
      <w:r>
        <w:rPr>
          <w:rFonts w:ascii="Georgia" w:cs="Georgia" w:eastAsia="Georgia" w:hAnsi="Georgia"/>
          <w:b/>
          <w:bCs/>
          <w:sz w:val="21"/>
          <w:szCs w:val="21"/>
        </w:rPr>
        <w:t xml:space="preserve">Record the 24 Class B exclusions</w:t>
      </w:r>
      <w:r>
        <w:rPr>
          <w:rFonts w:ascii="Georgia" w:cs="Georgia" w:eastAsia="Georgia" w:hAnsi="Georgia"/>
          <w:sz w:val="21"/>
          <w:szCs w:val="21"/>
        </w:rPr>
        <w:t xml:space="preserve"> as a scope statement, so 55% reverse coverage is a position rather than a shortfall.</w:t>
      </w:r>
    </w:p>
    <w:p>
      <w:pPr>
        <w:spacing w:after="70" w:line="272"/>
        <w:ind w:left="431" w:hanging="316"/>
      </w:pPr>
      <w:r>
        <w:rPr>
          <w:rFonts w:ascii="Georgia" w:cs="Georgia" w:eastAsia="Georgia" w:hAnsi="Georgia"/>
          <w:sz w:val="21"/>
          <w:szCs w:val="21"/>
        </w:rPr>
        <w:t xml:space="preserve">3.  </w:t>
      </w:r>
      <w:r>
        <w:rPr>
          <w:rFonts w:ascii="Georgia" w:cs="Georgia" w:eastAsia="Georgia" w:hAnsi="Georgia"/>
          <w:b/>
          <w:bCs/>
          <w:sz w:val="21"/>
          <w:szCs w:val="21"/>
        </w:rPr>
        <w:t xml:space="preserve">Add a deception control</w:t>
      </w:r>
      <w:r>
        <w:rPr>
          <w:rFonts w:ascii="Georgia" w:cs="Georgia" w:eastAsia="Georgia" w:hAnsi="Georgia"/>
          <w:sz w:val="21"/>
          <w:szCs w:val="21"/>
        </w:rPr>
        <w:t xml:space="preserve">, or extend an existing one, so </w:t>
      </w:r>
      <w:r>
        <w:rPr>
          <w:rFonts w:ascii="Consolas" w:cs="Consolas" w:eastAsia="Consolas" w:hAnsi="Consolas"/>
          <w:sz w:val="19"/>
          <w:szCs w:val="19"/>
        </w:rPr>
        <w:t xml:space="preserve">M5</w:t>
      </w:r>
      <w:r>
        <w:rPr>
          <w:rFonts w:ascii="Georgia" w:cs="Georgia" w:eastAsia="Georgia" w:hAnsi="Georgia"/>
          <w:sz w:val="21"/>
          <w:szCs w:val="21"/>
        </w:rPr>
        <w:t xml:space="preserve"> is assessable. Zero of seven D3FEND tactics is the least defensible number in this report.</w:t>
      </w:r>
    </w:p>
    <w:p>
      <w:pPr>
        <w:spacing w:after="70" w:line="272"/>
        <w:ind w:left="431" w:hanging="316"/>
      </w:pPr>
      <w:r>
        <w:rPr>
          <w:rFonts w:ascii="Georgia" w:cs="Georgia" w:eastAsia="Georgia" w:hAnsi="Georgia"/>
          <w:sz w:val="21"/>
          <w:szCs w:val="21"/>
        </w:rPr>
        <w:t xml:space="preserve">4.  </w:t>
      </w:r>
      <w:r>
        <w:rPr>
          <w:rFonts w:ascii="Georgia" w:cs="Georgia" w:eastAsia="Georgia" w:hAnsi="Georgia"/>
          <w:b/>
          <w:bCs/>
          <w:sz w:val="21"/>
          <w:szCs w:val="21"/>
        </w:rPr>
        <w:t xml:space="preserve">Address the Respond cluster.</w:t>
      </w:r>
      <w:r>
        <w:rPr>
          <w:rFonts w:ascii="Georgia" w:cs="Georgia" w:eastAsia="Georgia" w:hAnsi="Georgia"/>
          <w:sz w:val="21"/>
          <w:szCs w:val="21"/>
        </w:rPr>
        <w:t xml:space="preserve"> </w:t>
      </w:r>
      <w:r>
        <w:rPr>
          <w:rFonts w:ascii="Consolas" w:cs="Consolas" w:eastAsia="Consolas" w:hAnsi="Consolas"/>
          <w:sz w:val="19"/>
          <w:szCs w:val="19"/>
        </w:rPr>
        <w:t xml:space="preserve">RS.AN</w:t>
      </w:r>
      <w:r>
        <w:rPr>
          <w:rFonts w:ascii="Georgia" w:cs="Georgia" w:eastAsia="Georgia" w:hAnsi="Georgia"/>
          <w:sz w:val="21"/>
          <w:szCs w:val="21"/>
        </w:rPr>
        <w:t xml:space="preserve"> 0/4 and </w:t>
      </w:r>
      <w:r>
        <w:rPr>
          <w:rFonts w:ascii="Consolas" w:cs="Consolas" w:eastAsia="Consolas" w:hAnsi="Consolas"/>
          <w:sz w:val="19"/>
          <w:szCs w:val="19"/>
        </w:rPr>
        <w:t xml:space="preserve">RS.MA</w:t>
      </w:r>
      <w:r>
        <w:rPr>
          <w:rFonts w:ascii="Georgia" w:cs="Georgia" w:eastAsia="Georgia" w:hAnsi="Georgia"/>
          <w:sz w:val="21"/>
          <w:szCs w:val="21"/>
        </w:rPr>
        <w:t xml:space="preserve"> 1/5 are the largest coherent gap, and they map onto M7 and M10 — the forms the reference estates were already least able to perform.</w:t>
      </w:r>
    </w:p>
    <w:p>
      <w:pPr>
        <w:spacing w:after="70" w:line="272"/>
        <w:ind w:left="431" w:hanging="316"/>
      </w:pPr>
      <w:r>
        <w:rPr>
          <w:rFonts w:ascii="Georgia" w:cs="Georgia" w:eastAsia="Georgia" w:hAnsi="Georgia"/>
          <w:sz w:val="21"/>
          <w:szCs w:val="21"/>
        </w:rPr>
        <w:t xml:space="preserve">5.  </w:t>
      </w:r>
      <w:r>
        <w:rPr>
          <w:rFonts w:ascii="Georgia" w:cs="Georgia" w:eastAsia="Georgia" w:hAnsi="Georgia"/>
          <w:b/>
          <w:bCs/>
          <w:sz w:val="21"/>
          <w:szCs w:val="21"/>
        </w:rPr>
        <w:t xml:space="preserve">Decide the `ID` family</w:t>
      </w:r>
      <w:r>
        <w:rPr>
          <w:rFonts w:ascii="Georgia" w:cs="Georgia" w:eastAsia="Georgia" w:hAnsi="Georgia"/>
          <w:sz w:val="21"/>
          <w:szCs w:val="21"/>
        </w:rPr>
        <w:t xml:space="preserve">, which resolves </w:t>
      </w:r>
      <w:r>
        <w:rPr>
          <w:rFonts w:ascii="Consolas" w:cs="Consolas" w:eastAsia="Consolas" w:hAnsi="Consolas"/>
          <w:sz w:val="19"/>
          <w:szCs w:val="19"/>
        </w:rPr>
        <w:t xml:space="preserve">PR.AA-02/03/04</w:t>
      </w:r>
      <w:r>
        <w:rPr>
          <w:rFonts w:ascii="Georgia" w:cs="Georgia" w:eastAsia="Georgia" w:hAnsi="Georgia"/>
          <w:sz w:val="21"/>
          <w:szCs w:val="21"/>
        </w:rPr>
        <w:t xml:space="preserve"> and the </w:t>
      </w:r>
      <w:r>
        <w:rPr>
          <w:rFonts w:ascii="Consolas" w:cs="Consolas" w:eastAsia="Consolas" w:hAnsi="Consolas"/>
          <w:sz w:val="19"/>
          <w:szCs w:val="19"/>
        </w:rPr>
        <w:t xml:space="preserve">IA</w:t>
      </w:r>
      <w:r>
        <w:rPr>
          <w:rFonts w:ascii="Georgia" w:cs="Georgia" w:eastAsia="Georgia" w:hAnsi="Georgia"/>
          <w:sz w:val="21"/>
          <w:szCs w:val="21"/>
        </w:rPr>
        <w:t xml:space="preserve"> single-citation finding together.</w:t>
      </w:r>
    </w:p>
    <w:p>
      <w:pPr>
        <w:spacing w:after="70" w:line="272"/>
        <w:ind w:left="431" w:hanging="316"/>
      </w:pPr>
      <w:r>
        <w:rPr>
          <w:rFonts w:ascii="Georgia" w:cs="Georgia" w:eastAsia="Georgia" w:hAnsi="Georgia"/>
          <w:sz w:val="21"/>
          <w:szCs w:val="21"/>
        </w:rPr>
        <w:t xml:space="preserve">6.  </w:t>
      </w:r>
      <w:r>
        <w:rPr>
          <w:rFonts w:ascii="Georgia" w:cs="Georgia" w:eastAsia="Georgia" w:hAnsi="Georgia"/>
          <w:b/>
          <w:bCs/>
          <w:sz w:val="21"/>
          <w:szCs w:val="21"/>
        </w:rPr>
        <w:t xml:space="preserve">Replace D3FEND em-dashes with explicit N/A reasons</w:t>
      </w:r>
      <w:r>
        <w:rPr>
          <w:rFonts w:ascii="Georgia" w:cs="Georgia" w:eastAsia="Georgia" w:hAnsi="Georgia"/>
          <w:sz w:val="21"/>
          <w:szCs w:val="21"/>
        </w:rPr>
        <w:t xml:space="preserve"> so absence is distinguishable from omission.</w:t>
      </w:r>
    </w:p>
    <w:p>
      <w:pPr>
        <w:spacing w:after="70" w:line="278"/>
      </w:pPr>
      <w:r>
        <w:rPr>
          <w:rFonts w:ascii="Georgia" w:cs="Georgia" w:eastAsia="Georgia" w:hAnsi="Georgia"/>
          <w:sz w:val="21"/>
          <w:szCs w:val="21"/>
        </w:rPr>
        <w:t xml:space="preserve"/>
      </w:r>
    </w:p>
    <w:p>
      <w:pPr>
        <w:spacing w:after="130" w:line="278"/>
      </w:pPr>
      <w:r>
        <w:rPr>
          <w:rFonts w:ascii="Georgia" w:cs="Georgia" w:eastAsia="Georgia" w:hAnsi="Georgia"/>
          <w:sz w:val="21"/>
          <w:szCs w:val="21"/>
        </w:rPr>
        <w:t xml:space="preserve">Items 3, 4 and 5 are roster changes and belong to the framework owner. Items 1, 2 and 6 can proceed immediately.</w:t>
      </w:r>
    </w:p>
    <w:sectPr>
      <w:footerReference w:type="default" r:id="rId7"/>
      <w:pgSz w:w="12240" w:h="15840" w:orient="portrait"/>
      <w:pgMar w:top="130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Georgia" w:cs="Georgia" w:eastAsia="Georgia" w:hAnsi="Georgia"/>
        <w:color w:val="888888"/>
        <w:sz w:val="16"/>
        <w:szCs w:val="16"/>
      </w:rPr>
      <w:t xml:space="preserve">ASOM-Fed  ·  v6.1  · 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ASOM-Fed</dc:title>
  <dc:creator>threatDefendr</dc:creator>
  <dc:description>Reverse Coverage Analysis</dc:description>
  <cp:lastModifiedBy>Un-named</cp:lastModifiedBy>
  <cp:revision>1</cp:revision>
  <dcterms:created xsi:type="dcterms:W3CDTF">2026-08-10T14:27:36.715Z</dcterms:created>
  <dcterms:modified xsi:type="dcterms:W3CDTF">2026-08-10T14:27:36.715Z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