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Georgia" w:cs="Georgia" w:eastAsia="Georgia" w:hAnsi="Georgia"/>
          <w:b/>
          <w:bCs/>
          <w:sz w:val="64"/>
          <w:szCs w:val="64"/>
        </w:rPr>
        <w:t xml:space="preserve">ASOM-Fed</w:t>
      </w:r>
    </w:p>
    <w:p>
      <w:pPr>
        <w:spacing w:after="300" w:before="130"/>
        <w:jc w:val="center"/>
      </w:pPr>
      <w:r>
        <w:rPr>
          <w:rFonts w:ascii="Georgia" w:cs="Georgia" w:eastAsia="Georgia" w:hAnsi="Georgia"/>
          <w:sz w:val="38"/>
          <w:szCs w:val="38"/>
        </w:rPr>
        <w:t xml:space="preserve">The Analytic Scheme of Maneuver for Federal Network Defense</w:t>
      </w:r>
    </w:p>
    <w:p>
      <w:pPr>
        <w:spacing w:after="440" w:line="278"/>
        <w:jc w:val="center"/>
      </w:pPr>
      <w:r>
        <w:rPr>
          <w:rFonts w:ascii="Georgia" w:cs="Georgia" w:eastAsia="Georgia" w:hAnsi="Georgia"/>
          <w:i/>
          <w:iCs/>
          <w:sz w:val="21"/>
          <w:szCs w:val="21"/>
        </w:rPr>
        <w:t xml:space="preserve">A recommended reference framework applying an analytic scheme of maneuver to any U.S. federal agency network</w:t>
      </w:r>
    </w:p>
    <w:p>
      <w:pPr>
        <w:spacing w:after="110" w:line="278"/>
        <w:jc w:val="center"/>
      </w:pPr>
      <w:r>
        <w:rPr>
          <w:rFonts w:ascii="Georgia" w:cs="Georgia" w:eastAsia="Georgia" w:hAnsi="Georgia"/>
          <w:sz w:val="19"/>
          <w:szCs w:val="19"/>
        </w:rPr>
        <w:t xml:space="preserve">Version 6.1 · Unclassified / Illustrative · agency-agnostic reference framework</w:t>
      </w:r>
    </w:p>
    <w:p>
      <w:pPr>
        <w:spacing w:after="130" w:line="278"/>
        <w:jc w:val="center"/>
      </w:pPr>
      <w:r>
        <w:rPr>
          <w:rFonts w:ascii="Georgia" w:cs="Georgia" w:eastAsia="Georgia" w:hAnsi="Georgia"/>
          <w:color w:val="777777"/>
          <w:sz w:val="16"/>
          <w:szCs w:val="16"/>
        </w:rPr>
        <w:t xml:space="preserve">Generated from the ASOM-Fed control catalog by build tooling. Not hand-maintained.</w:t>
      </w:r>
    </w:p>
    <w:p>
      <w:r>
        <w:br w:type="page"/>
      </w:r>
    </w:p>
    <w:p>
      <w:pPr>
        <w:pStyle w:val="Heading1"/>
        <w:spacing w:after="150"/>
      </w:pPr>
      <w:r>
        <w:rPr>
          <w:rFonts w:ascii="Georgia" w:cs="Georgia" w:eastAsia="Georgia" w:hAnsi="Georgia"/>
          <w:b/>
          <w:bCs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The Analytic Scheme of Maneuver for Federal Network Defense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Version 6.1 · Unclassified / Illustrative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 recommended reference framework applying an analytic scheme of maneuver to any U.S. federal agency network, built against a generic Federal Reference Agency model. Agency-agnostic by construction; adopters substitute their own systems, boundaries and mission threads.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Executive summary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The problem.</w:t>
      </w:r>
      <w:r>
        <w:rPr>
          <w:rFonts w:ascii="Georgia" w:cs="Georgia" w:eastAsia="Georgia" w:hAnsi="Georgia"/>
          <w:sz w:val="21"/>
          <w:szCs w:val="21"/>
        </w:rPr>
        <w:t xml:space="preserve"> Federal network defense is still run as garrison security — static controls, perimeter guards, compliance checklists, and reaction. The unit of planning is the control, and controls do not move. Meanwhile the adversaries that matter behave like a maneuvering force: nation-state collectors after sensitive case records, fraud rings working public service portals, and ransomware crews exploiting deadline-sensitive availability. They seek positional and temporal advantage, mass at a decisive point, and exploit whichever side has the slower decision loop.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The reframe.</w:t>
      </w:r>
      <w:r>
        <w:rPr>
          <w:rFonts w:ascii="Georgia" w:cs="Georgia" w:eastAsia="Georgia" w:hAnsi="Georgia"/>
          <w:sz w:val="21"/>
          <w:szCs w:val="21"/>
        </w:rPr>
        <w:t xml:space="preserve"> ASOM-Fed treats cyber defense as a maneuver problem led by intelligence analysis. It combines two mature analytic bodies rarely brought together: the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scheme of maneuver</w:t>
      </w:r>
      <w:r>
        <w:rPr>
          <w:rFonts w:ascii="Georgia" w:cs="Georgia" w:eastAsia="Georgia" w:hAnsi="Georgia"/>
          <w:sz w:val="21"/>
          <w:szCs w:val="21"/>
        </w:rPr>
        <w:t xml:space="preserve">, which describes how a defense is arrayed and moved to gain positional advantage, and the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structured analytic process</w:t>
      </w:r>
      <w:r>
        <w:rPr>
          <w:rFonts w:ascii="Georgia" w:cs="Georgia" w:eastAsia="Georgia" w:hAnsi="Georgia"/>
          <w:sz w:val="21"/>
          <w:szCs w:val="21"/>
        </w:rPr>
        <w:t xml:space="preserve"> of Screen → Analyze → Integrate → Produce, which supplies confidence levels, priority intelligence requirements and disciplined course-of-action development.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The result.</w:t>
      </w:r>
      <w:r>
        <w:rPr>
          <w:rFonts w:ascii="Georgia" w:cs="Georgia" w:eastAsia="Georgia" w:hAnsi="Georgia"/>
          <w:sz w:val="21"/>
          <w:szCs w:val="21"/>
        </w:rPr>
        <w:t xml:space="preserve"> An intent-driven, intelligence-led plan that arrays defensive analytic and response capability across cyber terrain to seize and hold positional and temporal advantage, then continuously re-arrays as the situation develops. The agency stops being a wall that reacts and becomes a thinking defense that holds ground it has chosen.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What version 6.1 contains.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1"/>
        <w:gridCol w:w="5349"/>
      </w:tblGrid>
      <w:tr>
        <w:trPr>
          <w:tblHeader/>
        </w:trPr>
        <w:tc>
          <w:tcPr>
            <w:tcW w:type="dxa" w:w="401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  <w:tc>
          <w:tcPr>
            <w:tcW w:type="dxa" w:w="534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401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11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forms of maneuver</w:t>
            </w:r>
          </w:p>
        </w:tc>
        <w:tc>
          <w:tcPr>
            <w:tcW w:type="dxa" w:w="534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Durable categories that outlive tool churn</w:t>
            </w:r>
          </w:p>
        </w:tc>
      </w:tr>
      <w:tr>
        <w:tc>
          <w:tcPr>
            <w:tcW w:type="dxa" w:w="401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154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cataloged techniques</w:t>
            </w:r>
          </w:p>
        </w:tc>
        <w:tc>
          <w:tcPr>
            <w:tcW w:type="dxa" w:w="534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Each with a falsifiable success indicator</w:t>
            </w:r>
          </w:p>
        </w:tc>
      </w:tr>
      <w:tr>
        <w:tc>
          <w:tcPr>
            <w:tcW w:type="dxa" w:w="401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78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assessable controls</w:t>
            </w:r>
          </w:p>
        </w:tc>
        <w:tc>
          <w:tcPr>
            <w:tcW w:type="dxa" w:w="534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Across 14 families, inheriting all 20 SP 800-53 Rev. 5 families</w:t>
            </w:r>
          </w:p>
        </w:tc>
      </w:tr>
      <w:tr>
        <w:tc>
          <w:tcPr>
            <w:tcW w:type="dxa" w:w="401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784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capability-leveled activities</w:t>
            </w:r>
          </w:p>
        </w:tc>
        <w:tc>
          <w:tcPr>
            <w:tcW w:type="dxa" w:w="534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Graded 2–5 on the process capability scale</w:t>
            </w:r>
          </w:p>
        </w:tc>
      </w:tr>
      <w:tr>
        <w:tc>
          <w:tcPr>
            <w:tcW w:type="dxa" w:w="401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10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terrain layers</w:t>
            </w:r>
          </w:p>
        </w:tc>
        <w:tc>
          <w:tcPr>
            <w:tcW w:type="dxa" w:w="534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Five CISA ZTMM pillars plus four ASOM-Fed additions, plus cross-cutting</w:t>
            </w:r>
          </w:p>
        </w:tc>
      </w:tr>
      <w:tr>
        <w:tc>
          <w:tcPr>
            <w:tcW w:type="dxa" w:w="401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77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terrain × form cells</w:t>
            </w:r>
          </w:p>
        </w:tc>
        <w:tc>
          <w:tcPr>
            <w:tcW w:type="dxa" w:w="534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board coverage is actually scored on</w:t>
            </w:r>
          </w:p>
        </w:tc>
      </w:tr>
      <w:tr>
        <w:tc>
          <w:tcPr>
            <w:tcW w:type="dxa" w:w="401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4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defensive postures</w:t>
            </w:r>
          </w:p>
        </w:tc>
        <w:tc>
          <w:tcPr>
            <w:tcW w:type="dxa" w:w="534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Passive, active, reactive, directing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1. What this framework borrows, and what it deliberately does not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ASOM-Fed applies maneuver concepts to a civilian federal mission. That combination needs stating precisely, because the value is in the analytic structure and the risk is in importing organizational assumptions that do not belong in a federal agency.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What is borrowed — analytic and planning concepts: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Terrain.</w:t>
      </w:r>
      <w:r>
        <w:rPr>
          <w:rFonts w:ascii="Georgia" w:cs="Georgia" w:eastAsia="Georgia" w:hAnsi="Georgia"/>
          <w:sz w:val="21"/>
          <w:szCs w:val="21"/>
        </w:rPr>
        <w:t xml:space="preserve"> That a defense is emplaced on ground with characteristics, and that position determines how an adversary moves.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Key terrain and decisive points.</w:t>
      </w:r>
      <w:r>
        <w:rPr>
          <w:rFonts w:ascii="Georgia" w:cs="Georgia" w:eastAsia="Georgia" w:hAnsi="Georgia"/>
          <w:sz w:val="21"/>
          <w:szCs w:val="21"/>
        </w:rPr>
        <w:t xml:space="preserve"> That a small number of elements confer disproportionate control, and that identifying them is a judgment leadership must make and justify.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Forms of maneuver.</w:t>
      </w:r>
      <w:r>
        <w:rPr>
          <w:rFonts w:ascii="Georgia" w:cs="Georgia" w:eastAsia="Georgia" w:hAnsi="Georgia"/>
          <w:sz w:val="21"/>
          <w:szCs w:val="21"/>
        </w:rPr>
        <w:t xml:space="preserve"> That there is a small, durable set of things a defense can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do</w:t>
      </w:r>
      <w:r>
        <w:rPr>
          <w:rFonts w:ascii="Georgia" w:cs="Georgia" w:eastAsia="Georgia" w:hAnsi="Georgia"/>
          <w:sz w:val="21"/>
          <w:szCs w:val="21"/>
        </w:rPr>
        <w:t xml:space="preserve">, distinct from the perishable techniques that realize them.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Main effort.</w:t>
      </w:r>
      <w:r>
        <w:rPr>
          <w:rFonts w:ascii="Georgia" w:cs="Georgia" w:eastAsia="Georgia" w:hAnsi="Georgia"/>
          <w:sz w:val="21"/>
          <w:szCs w:val="21"/>
        </w:rPr>
        <w:t xml:space="preserve"> That priority must be concentrated somewhere and subordinated elsewhere, and that this is a decision rather than an emergent property.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Tempo.</w:t>
      </w:r>
      <w:r>
        <w:rPr>
          <w:rFonts w:ascii="Georgia" w:cs="Georgia" w:eastAsia="Georgia" w:hAnsi="Georgia"/>
          <w:sz w:val="21"/>
          <w:szCs w:val="21"/>
        </w:rPr>
        <w:t xml:space="preserve"> That the rate of decision relative to the adversary is the measure that decides engagements.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Campaign phasing.</w:t>
      </w:r>
      <w:r>
        <w:rPr>
          <w:rFonts w:ascii="Georgia" w:cs="Georgia" w:eastAsia="Georgia" w:hAnsi="Georgia"/>
          <w:sz w:val="21"/>
          <w:szCs w:val="21"/>
        </w:rPr>
        <w:t xml:space="preserve"> That a defense has phases with different objectives, and that declaring a phase should change what happens.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Structured analysis.</w:t>
      </w:r>
      <w:r>
        <w:rPr>
          <w:rFonts w:ascii="Georgia" w:cs="Georgia" w:eastAsia="Georgia" w:hAnsi="Georgia"/>
          <w:sz w:val="21"/>
          <w:szCs w:val="21"/>
        </w:rPr>
        <w:t xml:space="preserve"> Explicit confidence levels, priority intelligence requirements, and course-of-action development.</w:t>
      </w:r>
    </w:p>
    <w:p>
      <w:pPr>
        <w:spacing w:after="7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What is deliberately not borrowed: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Rank, chain of command and military organizational structure.</w:t>
      </w:r>
      <w:r>
        <w:rPr>
          <w:rFonts w:ascii="Georgia" w:cs="Georgia" w:eastAsia="Georgia" w:hAnsi="Georgia"/>
          <w:sz w:val="21"/>
          <w:szCs w:val="21"/>
        </w:rPr>
        <w:t xml:space="preserve"> ASOM-Fed uses federal roles — Authorizing Official, CISO, ISSO, SOC, threat intelligence function, system and data owners. There is no commander, no staff-section numbering, and no military hierarchy anywhere in the model. Authority in this framework is the authority a federal agency actually has, exercised through the instruments it actually uses.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Offensive operations of any kind.</w:t>
      </w:r>
      <w:r>
        <w:rPr>
          <w:rFonts w:ascii="Georgia" w:cs="Georgia" w:eastAsia="Georgia" w:hAnsi="Georgia"/>
          <w:sz w:val="21"/>
          <w:szCs w:val="21"/>
        </w:rPr>
        <w:t xml:space="preserve"> "Spoiling attack" and "counterattack" are named from the analytic vocabulary but are strictly defensive in content — pre-emptive blocking, patching, hunting and eviction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inside the agency's own authorization boundary</w:t>
      </w:r>
      <w:r>
        <w:rPr>
          <w:rFonts w:ascii="Georgia" w:cs="Georgia" w:eastAsia="Georgia" w:hAnsi="Georgia"/>
          <w:sz w:val="21"/>
          <w:szCs w:val="21"/>
        </w:rPr>
        <w:t xml:space="preserve">. Nothing in ASOM-Fed contemplates action outside it. Control CG-3 requires that limit to be written down rather than inferred.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Kinetic or physical-harm framing.</w:t>
      </w:r>
      <w:r>
        <w:rPr>
          <w:rFonts w:ascii="Georgia" w:cs="Georgia" w:eastAsia="Georgia" w:hAnsi="Georgia"/>
          <w:sz w:val="21"/>
          <w:szCs w:val="21"/>
        </w:rPr>
        <w:t xml:space="preserve"> The vocabulary describes information systems. Where physical consequence is genuinely in scope — operational technology, facilities — it is treated as a safety and continuity concern under FO-4 and FC-4.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Unilateral action.</w:t>
      </w:r>
      <w:r>
        <w:rPr>
          <w:rFonts w:ascii="Georgia" w:cs="Georgia" w:eastAsia="Georgia" w:hAnsi="Georgia"/>
          <w:sz w:val="21"/>
          <w:szCs w:val="21"/>
        </w:rPr>
        <w:t xml:space="preserve"> Every response authority in the framework is bounded by approved rules of engagement, statutory availability floors, privacy authority and the agency's own disclosure obligations.</w:t>
      </w:r>
    </w:p>
    <w:p>
      <w:pPr>
        <w:spacing w:after="7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An agency adopting ASOM-Fed adopts a planning method, not a posture toward the world.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2. Doctrinal and policy foundations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2.1 Maneuver and positional advantage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Cyber maneuver is defined in the source literature as actions taken within and through cyberspace to achieve physical, technical and cognitive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positional and temporal advantage</w:t>
      </w:r>
      <w:r>
        <w:rPr>
          <w:rFonts w:ascii="Georgia" w:cs="Georgia" w:eastAsia="Georgia" w:hAnsi="Georgia"/>
          <w:sz w:val="21"/>
          <w:szCs w:val="21"/>
        </w:rPr>
        <w:t xml:space="preserve"> over an adversary. A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scheme of maneuver</w:t>
      </w:r>
      <w:r>
        <w:rPr>
          <w:rFonts w:ascii="Georgia" w:cs="Georgia" w:eastAsia="Georgia" w:hAnsi="Georgia"/>
          <w:sz w:val="21"/>
          <w:szCs w:val="21"/>
        </w:rPr>
        <w:t xml:space="preserve"> specifies which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categories</w:t>
      </w:r>
      <w:r>
        <w:rPr>
          <w:rFonts w:ascii="Georgia" w:cs="Georgia" w:eastAsia="Georgia" w:hAnsi="Georgia"/>
          <w:sz w:val="21"/>
          <w:szCs w:val="21"/>
        </w:rPr>
        <w:t xml:space="preserve"> of maneuver apply and in what sequence.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consequential idea is that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categories of maneuver are durable while the techniques that realize them are perishable</w:t>
      </w:r>
      <w:r>
        <w:rPr>
          <w:rFonts w:ascii="Georgia" w:cs="Georgia" w:eastAsia="Georgia" w:hAnsi="Georgia"/>
          <w:sz w:val="21"/>
          <w:szCs w:val="21"/>
        </w:rPr>
        <w:t xml:space="preserve">. Leaders therefore need intent, not tool mastery; engineers can re-tool without invalidating the plan. Every structural decision in this framework follows from taking that seriously.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2.2 The analytic process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analytic engine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Screen → Analyze → Integrate → Produce</w:t>
      </w:r>
      <w:r>
        <w:rPr>
          <w:rFonts w:ascii="Georgia" w:cs="Georgia" w:eastAsia="Georgia" w:hAnsi="Georgia"/>
          <w:sz w:val="21"/>
          <w:szCs w:val="21"/>
        </w:rPr>
        <w:t xml:space="preserve">, supported by structured analytic techniques, systematic preparation of the environment, and products that carry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explicit confidence levels</w:t>
      </w:r>
      <w:r>
        <w:rPr>
          <w:rFonts w:ascii="Georgia" w:cs="Georgia" w:eastAsia="Georgia" w:hAnsi="Georgia"/>
          <w:sz w:val="21"/>
          <w:szCs w:val="21"/>
        </w:rPr>
        <w:t xml:space="preserve"> and are driven by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priority intelligence requirements</w:t>
      </w:r>
      <w:r>
        <w:rPr>
          <w:rFonts w:ascii="Georgia" w:cs="Georgia" w:eastAsia="Georgia" w:hAnsi="Georgia"/>
          <w:sz w:val="21"/>
          <w:szCs w:val="21"/>
        </w:rPr>
        <w:t xml:space="preserve">. Control CE-3 makes confidence mandatory and measures whether the scale is actually used; a function that never publishes a low-confidence assessment is unfalsifiable rather than careful.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2.3 The federal terrain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ground ASOM-Fed maneuvers on is the federal zero-trust stack: the CISA Zero Trust Maturity Model (five pillars, three cross-cutting capabilities, maturity Traditional → Initial → Advanced → Optimal); NIST SP 800-207 Zero Trust Architecture (policy decision and enforcement points); Trusted Internet Connections 3.0; Continuous Diagnostics and Mitigation; FISMA with the NIST Risk Management Framework, SP 800-53 Rev. 5 and CSF 2.0; and OMB M-22-09.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3. The core translation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This crosswalk is the framework's reference point. Every later section uses it to keep operational intent legible to both agency leadership and engineers.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7"/>
        <w:gridCol w:w="4141"/>
        <w:gridCol w:w="4142"/>
      </w:tblGrid>
      <w:tr>
        <w:trPr>
          <w:tblHeader/>
        </w:trPr>
        <w:tc>
          <w:tcPr>
            <w:tcW w:type="dxa" w:w="107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Analytic term</w:t>
            </w:r>
          </w:p>
        </w:tc>
        <w:tc>
          <w:tcPr>
            <w:tcW w:type="dxa" w:w="414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Federal-network meaning</w:t>
            </w:r>
          </w:p>
        </w:tc>
        <w:tc>
          <w:tcPr>
            <w:tcW w:type="dxa" w:w="414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Reference-agency instantiation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Accountable authority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Authorizing Official or CISO who owns risk and intent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Agency CISO / Authorizing Official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Defensive intent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Defensive end-state plus acceptable risk, in one paragraph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"Protect mission-transaction integrity and sensitive mission records; degrade gracefully, never fail open"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Scheme of maneuver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defensive campaign plan — which maneuvers, where, in what sequence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Campaign for the public service portal and case-processing systems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 terrain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Systems and data whose control confers decisive advantage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Public Service Portal, sensitive records, ICAM identity plane, mission-staff workflow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Where control unhinges the adversary's plan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 policy decision point; the CI/CD pipeline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Avenues of approach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Attack paths and exploitable surface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Public portals, external-user accounts, cloud APIs, contractor supply chain, maintenance paths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Mobility corridors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Lateral-movement paths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Flat segments, over-permissioned service accounts, shared cloud roles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Main effort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Where defensive priority is concentrated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Sensitive records and the identity plane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Preparation of the environment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Cyber Preparation of the Environment (CPE)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Map the portal attack surface and threat courses of action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Priority intelligence requirements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Priority Cyber Intelligence Requirements (PCIR)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"Are external-user accounts being taken over?"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Defensive actions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Active response — block, isolate, deceive, disrupt, evict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Auto-revoke session; quarantine; deploy decoy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Running estimate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Cyber Running Estimate — living situational picture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Fused SOC and hunt board</w:t>
            </w:r>
          </w:p>
        </w:tc>
      </w:tr>
      <w:tr>
        <w:tc>
          <w:tcPr>
            <w:tcW w:type="dxa" w:w="10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Tempo</w:t>
            </w:r>
          </w:p>
        </w:tc>
        <w:tc>
          <w:tcPr>
            <w:tcW w:type="dxa" w:w="414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Rate of decision and action relative to the adversary</w:t>
            </w:r>
          </w:p>
        </w:tc>
        <w:tc>
          <w:tcPr>
            <w:tcW w:type="dxa" w:w="414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Mean time to detect, decide and contain, against adversary dwell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4. The cyber terrain model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You cannot have a scheme of maneuver without terrain. ASOM-Fed models the federal enterprise as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nine terrain layers plus one cross-cutting domain</w:t>
      </w:r>
      <w:r>
        <w:rPr>
          <w:rFonts w:ascii="Georgia" w:cs="Georgia" w:eastAsia="Georgia" w:hAnsi="Georgia"/>
          <w:sz w:val="21"/>
          <w:szCs w:val="21"/>
        </w:rPr>
        <w:t xml:space="preserve">. Five layers are the CISA ZTMM pillars taken unchanged; four are ASOM-Fed's own, each added because a measurable part of a federal estate had nowhere to stand without it.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Each layer carries a metaphor that is load-bearing rather than decorative: it tells a planner what kind of ground they are defending, and therefore which moves are available on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1383"/>
        <w:gridCol w:w="1383"/>
        <w:gridCol w:w="5774"/>
      </w:tblGrid>
      <w:tr>
        <w:trPr>
          <w:tblHeader/>
        </w:trPr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ID</w:t>
            </w:r>
          </w:p>
        </w:tc>
        <w:tc>
          <w:tcPr>
            <w:tcW w:type="dxa" w:w="138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Terrain layer</w:t>
            </w:r>
          </w:p>
        </w:tc>
        <w:tc>
          <w:tcPr>
            <w:tcW w:type="dxa" w:w="138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Character</w:t>
            </w:r>
          </w:p>
        </w:tc>
        <w:tc>
          <w:tcPr>
            <w:tcW w:type="dxa" w:w="577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Key terrain / decisive point in the reference agency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T1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high ground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ICAM and policy decision point; privileged, external-user and mission-staff identities. Whoever holds it controls movement everywhere else.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T2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Devices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entry fords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Managed and unmanaged endpoints; mission-staff and contractor devices; privileged access workstations.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T3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Networks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corridors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Segmentation, TIC 3.0 trust zones, east-west and cloud peering paths. The only layer where an adversary can meaningfully be canalized.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T4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Applications and Workloads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Urban terrain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Public Service Portal, Case Processing System, APIs; the CI/CD pipeline as a decisive point. Dense, complex, easiest to lose track of.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T5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Data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objective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Sensitive case records, PII, financial data, audit logs. The reason the campaign exists.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T6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Operational Technology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Contested ground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Building management, physical access control, engineering workstations. Cannot be patched or restarted on the defender's schedule; loss has physical consequence. Added v2.0.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T7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Workforce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people who operate the estate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Privileged administrators, caseworkers, approval authorities, contract support. The only terrain that is simultaneously the workforce operating it. Added v3.0.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T8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Facilities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ground you stand on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Data centers, field offices, alternate recovery sites, and the vendor maintenance paths reaching through them. Added v3.0.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T9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Supply Chain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Lines of communication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Cloud and managed service providers, build dependencies, hardware and firmware vendors. Frequently the actual intrusion path. Added v3.0.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TX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Cross-Cutting</w:t>
            </w:r>
          </w:p>
        </w:tc>
        <w:tc>
          <w:tcPr>
            <w:tcW w:type="dxa" w:w="138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enablers</w:t>
            </w:r>
          </w:p>
        </w:tc>
        <w:tc>
          <w:tcPr>
            <w:tcW w:type="dxa" w:w="57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Visibility and analytics is reconnaissance; automation and orchestration is mobility; governance is decision authority. Not ground, but what lets you move on it.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Deliberate divergence from CISA.</w:t>
      </w:r>
      <w:r>
        <w:rPr>
          <w:rFonts w:ascii="Georgia" w:cs="Georgia" w:eastAsia="Georgia" w:hAnsi="Georgia"/>
          <w:sz w:val="21"/>
          <w:szCs w:val="21"/>
        </w:rPr>
        <w:t xml:space="preserve"> The five pillars are ZTMM's, verbatim. </w:t>
      </w:r>
      <w:r>
        <w:rPr>
          <w:rFonts w:ascii="Consolas" w:cs="Consolas" w:eastAsia="Consolas" w:hAnsi="Consolas"/>
          <w:sz w:val="19"/>
          <w:szCs w:val="19"/>
        </w:rPr>
        <w:t xml:space="preserve">T6</w:t>
      </w:r>
      <w:r>
        <w:rPr>
          <w:rFonts w:ascii="Georgia" w:cs="Georgia" w:eastAsia="Georgia" w:hAnsi="Georgia"/>
          <w:sz w:val="21"/>
          <w:szCs w:val="21"/>
        </w:rPr>
        <w:t xml:space="preserve"> through </w:t>
      </w:r>
      <w:r>
        <w:rPr>
          <w:rFonts w:ascii="Consolas" w:cs="Consolas" w:eastAsia="Consolas" w:hAnsi="Consolas"/>
          <w:sz w:val="19"/>
          <w:szCs w:val="19"/>
        </w:rPr>
        <w:t xml:space="preserve">T9</w:t>
      </w:r>
      <w:r>
        <w:rPr>
          <w:rFonts w:ascii="Georgia" w:cs="Georgia" w:eastAsia="Georgia" w:hAnsi="Georgia"/>
          <w:sz w:val="21"/>
          <w:szCs w:val="21"/>
        </w:rPr>
        <w:t xml:space="preserve"> and the consolidation of ZTMM's three cross-cutting capabilities into a single </w:t>
      </w:r>
      <w:r>
        <w:rPr>
          <w:rFonts w:ascii="Consolas" w:cs="Consolas" w:eastAsia="Consolas" w:hAnsi="Consolas"/>
          <w:sz w:val="19"/>
          <w:szCs w:val="19"/>
        </w:rPr>
        <w:t xml:space="preserve">TX</w:t>
      </w:r>
      <w:r>
        <w:rPr>
          <w:rFonts w:ascii="Georgia" w:cs="Georgia" w:eastAsia="Georgia" w:hAnsi="Georgia"/>
          <w:sz w:val="21"/>
          <w:szCs w:val="21"/>
        </w:rPr>
        <w:t xml:space="preserve"> domain are ASOM-Fed's own. The consolidation is lossy: an agency reporting ZTMM maturity per cross-cutting capability cannot map those three onto </w:t>
      </w:r>
      <w:r>
        <w:rPr>
          <w:rFonts w:ascii="Consolas" w:cs="Consolas" w:eastAsia="Consolas" w:hAnsi="Consolas"/>
          <w:sz w:val="19"/>
          <w:szCs w:val="19"/>
        </w:rPr>
        <w:t xml:space="preserve">TX</w:t>
      </w:r>
      <w:r>
        <w:rPr>
          <w:rFonts w:ascii="Georgia" w:cs="Georgia" w:eastAsia="Georgia" w:hAnsi="Georgia"/>
          <w:sz w:val="21"/>
          <w:szCs w:val="21"/>
        </w:rPr>
        <w:t xml:space="preserve"> one-to-one and should continue reporting them separately.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The deliverable of this step</w:t>
      </w:r>
      <w:r>
        <w:rPr>
          <w:rFonts w:ascii="Georgia" w:cs="Georgia" w:eastAsia="Georgia" w:hAnsi="Georgia"/>
          <w:sz w:val="21"/>
          <w:szCs w:val="21"/>
        </w:rPr>
        <w:t xml:space="preserve"> is a one-page Cyber Terrain Overlay, refreshed at a defined cadence and on material architectural change. Controls TM-1 through TM-7 specify it; TM-6 requires both triggers, because a program honoring only the calendar will plan from a map that a deployment invalidated the week after it was drawn.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Standing finding.</w:t>
      </w:r>
      <w:r>
        <w:rPr>
          <w:rFonts w:ascii="Georgia" w:cs="Georgia" w:eastAsia="Georgia" w:hAnsi="Georgia"/>
          <w:sz w:val="21"/>
          <w:szCs w:val="21"/>
        </w:rPr>
        <w:t xml:space="preserve"> Every terrain layer ASOM-Fed added has dedicated controls. Of the five inherited ZTMM pillars, only </w:t>
      </w:r>
      <w:r>
        <w:rPr>
          <w:rFonts w:ascii="Consolas" w:cs="Consolas" w:eastAsia="Consolas" w:hAnsi="Consolas"/>
          <w:sz w:val="19"/>
          <w:szCs w:val="19"/>
        </w:rPr>
        <w:t xml:space="preserve">T1</w:t>
      </w:r>
      <w:r>
        <w:rPr>
          <w:rFonts w:ascii="Georgia" w:cs="Georgia" w:eastAsia="Georgia" w:hAnsi="Georgia"/>
          <w:sz w:val="21"/>
          <w:szCs w:val="21"/>
        </w:rPr>
        <w:t xml:space="preserve"> does, added in v5.0. </w:t>
      </w:r>
      <w:r>
        <w:rPr>
          <w:rFonts w:ascii="Consolas" w:cs="Consolas" w:eastAsia="Consolas" w:hAnsi="Consolas"/>
          <w:sz w:val="19"/>
          <w:szCs w:val="19"/>
        </w:rPr>
        <w:t xml:space="preserve">T2</w:t>
      </w:r>
      <w:r>
        <w:rPr>
          <w:rFonts w:ascii="Georgia" w:cs="Georgia" w:eastAsia="Georgia" w:hAnsi="Georgia"/>
          <w:sz w:val="21"/>
          <w:szCs w:val="21"/>
        </w:rPr>
        <w:t xml:space="preserve"> Devices holds no dedicated control and is the only layer with none — recorded as a v6.1 input rather than resolved here.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5. The ASOM cycle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 repeatable, intelligence-led loop fusing the structured analytic process with maneuver planning. Six steps; the loop turns continuously, and the objective is to run it faster and at higher confidence than the adversary can adapt.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960"/>
        <w:gridCol w:w="1560"/>
        <w:gridCol w:w="4580"/>
        <w:gridCol w:w="1440"/>
      </w:tblGrid>
      <w:tr>
        <w:trPr>
          <w:tblHeader/>
        </w:trPr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tcW w:type="dxa" w:w="96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Step</w:t>
            </w:r>
          </w:p>
        </w:tc>
        <w:tc>
          <w:tcPr>
            <w:tcW w:type="dxa" w:w="156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Analytic root</w:t>
            </w:r>
          </w:p>
        </w:tc>
        <w:tc>
          <w:tcPr>
            <w:tcW w:type="dxa" w:w="458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What happens</w:t>
            </w:r>
          </w:p>
        </w:tc>
        <w:tc>
          <w:tcPr>
            <w:tcW w:type="dxa" w:w="144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Output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</w:t>
            </w:r>
          </w:p>
        </w:tc>
        <w:tc>
          <w:tcPr>
            <w:tcW w:type="dxa" w:w="9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FRAME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Screen; analytic design</w:t>
            </w:r>
          </w:p>
        </w:tc>
        <w:tc>
          <w:tcPr>
            <w:tcW w:type="dxa" w:w="4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State the defensive intent; set priority cyber intelligence requirements; define what positional advantage means this cycle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Intent paragraph and PCIR list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</w:t>
            </w:r>
          </w:p>
        </w:tc>
        <w:tc>
          <w:tcPr>
            <w:tcW w:type="dxa" w:w="9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MAP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Preparation of the environment</w:t>
            </w:r>
          </w:p>
        </w:tc>
        <w:tc>
          <w:tcPr>
            <w:tcW w:type="dxa" w:w="4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Refresh the terrain overlay; enumerate avenues; build most-likely and most-dangerous threat courses of action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Terrain overlay and threat COA sketch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</w:t>
            </w:r>
          </w:p>
        </w:tc>
        <w:tc>
          <w:tcPr>
            <w:tcW w:type="dxa" w:w="9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ARRAY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Scheme design</w:t>
            </w:r>
          </w:p>
        </w:tc>
        <w:tc>
          <w:tcPr>
            <w:tcW w:type="dxa" w:w="4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Choose forms of maneuver, main and supporting effort, decisive points, branches and sequels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scheme of maneuver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9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MANEUVER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Execution</w:t>
            </w:r>
          </w:p>
        </w:tc>
        <w:tc>
          <w:tcPr>
            <w:tcW w:type="dxa" w:w="4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Emplace obstacles, reposition sensors, execute pre-authorized defensive actions per the scheme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Executed actions and change record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9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FUSE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Analyze; integrate</w:t>
            </w:r>
          </w:p>
        </w:tc>
        <w:tc>
          <w:tcPr>
            <w:tcW w:type="dxa" w:w="4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Apply structured analytic techniques; assign confidence levels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Fused assessment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9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ASSESS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Produce; re-frame</w:t>
            </w:r>
          </w:p>
        </w:tc>
        <w:tc>
          <w:tcPr>
            <w:tcW w:type="dxa" w:w="45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Measure advantage; continue, exploit or transition; publish the Brief; loop to 1</w:t>
            </w:r>
          </w:p>
        </w:tc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Cycle record and posture result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Ownership is split deliberately.</w:t>
      </w:r>
      <w:r>
        <w:rPr>
          <w:rFonts w:ascii="Georgia" w:cs="Georgia" w:eastAsia="Georgia" w:hAnsi="Georgia"/>
          <w:sz w:val="21"/>
          <w:szCs w:val="21"/>
        </w:rPr>
        <w:t xml:space="preserve"> Steps 1, 2 and 5 belong to the threat intelligence function; step 4 to the SOC; steps 3 and 6 to the accountable authority. Splitting ownership this way is what stops the loop degrading into a status meeting. Control CE-1 requires the cadence to hold and records a lapse as a finding — the cycle is otherwise sacrificed exactly when it is most needed, because the SOC is busy precisely when it would be most valuable.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6. The maneuver catalog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durable categories of maneuver, recast as defensive forms for a federal network. Each is intent-first: leadership picks the intent and mechanism; engineers pick the technique. A scheme of maneuver names a sequence of these with one designated main effort.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1598"/>
        <w:gridCol w:w="1826"/>
        <w:gridCol w:w="5116"/>
      </w:tblGrid>
      <w:tr>
        <w:trPr>
          <w:tblHeader/>
        </w:trPr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ID</w:t>
            </w:r>
          </w:p>
        </w:tc>
        <w:tc>
          <w:tcPr>
            <w:tcW w:type="dxa" w:w="159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Form</w:t>
            </w:r>
          </w:p>
        </w:tc>
        <w:tc>
          <w:tcPr>
            <w:tcW w:type="dxa" w:w="182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Intent</w:t>
            </w:r>
          </w:p>
        </w:tc>
        <w:tc>
          <w:tcPr>
            <w:tcW w:type="dxa" w:w="511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Mechanism in the reference agency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Screen / Guard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Early warning and reaction time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External attack-surface monitoring, threat intelligence, perimeter canaries, external-login geography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Defense in Depth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No single failure is decisive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Layered controls across all terrain; TIC 3.0 zones; sensitive records behind their own enforcement point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Envelopment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Make identity the decisive plane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Phishing-resistant MFA, continuous authorization, conditional access, just-in-time privilege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Obstacle / Canalization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Force the adversary onto ground you own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Microsegmentation, egress control, allow-listing, denied east-west between tiers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Ambush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Trade space for information and time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Honeypots, decoy credentials and documents, honeytokens in the data layer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Delay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Buy decision time; prevent culmination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Rate limiting, step-up authentication, session throttling, bulk-download throttling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Counterattack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Seize initiative; evict early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Hypothesis-driven hunting from FUSE; automated containment playbooks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Isolation / Retrograde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Fail secure; give ground to preserve the mission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Automated segment severing, session revocation, graceful degradation preserving transaction integrity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Spoiling Attack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Disrupt adversary staging pre-attack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Act on CISA, sector and law-enforcement reporting to pre-block infrastructure and pre-patch targeted weaknesses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Exploitation &amp; Pursuit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Convert contact into durable advantage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Harvest indicators into detections; close the avenue; update overlay and requirements; share to the community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</w:t>
            </w:r>
          </w:p>
        </w:tc>
        <w:tc>
          <w:tcPr>
            <w:tcW w:type="dxa" w:w="15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Reconstitution</w:t>
            </w:r>
          </w:p>
        </w:tc>
        <w:tc>
          <w:tcPr>
            <w:tcW w:type="dxa" w:w="18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Restore the mission on evidence, not on hope</w:t>
            </w:r>
          </w:p>
        </w:tc>
        <w:tc>
          <w:tcPr>
            <w:tcW w:type="dxa" w:w="51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Declare recovery objectives; hold recovery outside the production identity plane; test the rebuild path including identity; verify restored data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Principal ground, posture and allocation weight.</w:t>
      </w:r>
      <w:r>
        <w:rPr>
          <w:rFonts w:ascii="Georgia" w:cs="Georgia" w:eastAsia="Georgia" w:hAnsi="Georgia"/>
          <w:sz w:val="21"/>
          <w:szCs w:val="21"/>
        </w:rPr>
        <w:t xml:space="preserve"> Ground is the terrain layer the form is principally concerned with — advisory, since techniques within a form may sit on other layers. Posture is defined in §7. Weight is the residual-risk reduction attributed to the form when fully operational, used by the Tower Model's allocation arithmetic.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2730"/>
        <w:gridCol w:w="3080"/>
        <w:gridCol w:w="1560"/>
        <w:gridCol w:w="1170"/>
      </w:tblGrid>
      <w:tr>
        <w:trPr>
          <w:tblHeader/>
        </w:trPr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ID</w:t>
            </w:r>
          </w:p>
        </w:tc>
        <w:tc>
          <w:tcPr>
            <w:tcW w:type="dxa" w:w="273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Form</w:t>
            </w:r>
          </w:p>
        </w:tc>
        <w:tc>
          <w:tcPr>
            <w:tcW w:type="dxa" w:w="308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Principal ground</w:t>
            </w:r>
          </w:p>
        </w:tc>
        <w:tc>
          <w:tcPr>
            <w:tcW w:type="dxa" w:w="156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Posture</w:t>
            </w:r>
          </w:p>
        </w:tc>
        <w:tc>
          <w:tcPr>
            <w:tcW w:type="dxa" w:w="117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Weight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Screen / Guard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T3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Reactive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Defense in Depth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T3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Passive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Envelopment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T1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Passive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15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Obstacle / Canalization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T3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Passive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Ambush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T5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Active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Delay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T4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Reactive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Counterattack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TX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Active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11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Isolation / Retrograde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T3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Reactive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Spoiling Attack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TX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Active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Exploitation &amp; Pursuit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TX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Active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</w:t>
            </w:r>
          </w:p>
        </w:tc>
        <w:tc>
          <w:tcPr>
            <w:tcW w:type="dxa" w:w="273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Reconstitution</w:t>
            </w:r>
          </w:p>
        </w:tc>
        <w:tc>
          <w:tcPr>
            <w:tcW w:type="dxa" w:w="30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TX</w:t>
            </w:r>
          </w:p>
        </w:tc>
        <w:tc>
          <w:tcPr>
            <w:tcW w:type="dxa" w:w="15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Reactive</w:t>
            </w:r>
          </w:p>
        </w:tc>
        <w:tc>
          <w:tcPr>
            <w:tcW w:type="dxa" w:w="11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Rebalanced in v6.1.</w:t>
      </w:r>
      <w:r>
        <w:rPr>
          <w:rFonts w:ascii="Georgia" w:cs="Georgia" w:eastAsia="Georgia" w:hAnsi="Georgia"/>
          <w:sz w:val="20"/>
          <w:szCs w:val="20"/>
        </w:rPr>
        <w:t xml:space="preserve"> The weights previously summed to </w:t>
      </w:r>
      <w:r>
        <w:rPr>
          <w:rFonts w:ascii="Georgia" w:cs="Georgia" w:eastAsia="Georgia" w:hAnsi="Georgia"/>
          <w:b/>
          <w:bCs/>
          <w:sz w:val="20"/>
          <w:szCs w:val="20"/>
        </w:rPr>
        <w:t xml:space="preserve">117</w:t>
      </w:r>
      <w:r>
        <w:rPr>
          <w:rFonts w:ascii="Georgia" w:cs="Georgia" w:eastAsia="Georgia" w:hAnsi="Georgia"/>
          <w:sz w:val="20"/>
          <w:szCs w:val="20"/>
        </w:rPr>
        <w:t xml:space="preserve">, not 100 — the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distribution summed to 100 across the original ten before </w:t>
      </w:r>
      <w:r>
        <w:rPr>
          <w:rFonts w:ascii="Consolas" w:cs="Consolas" w:eastAsia="Consolas" w:hAnsi="Consolas"/>
          <w:sz w:val="18"/>
          <w:szCs w:val="18"/>
        </w:rPr>
        <w:t xml:space="preserve">M11</w:t>
      </w:r>
      <w:r>
        <w:rPr>
          <w:rFonts w:ascii="Georgia" w:cs="Georgia" w:eastAsia="Georgia" w:hAnsi="Georgia"/>
          <w:sz w:val="20"/>
          <w:szCs w:val="20"/>
        </w:rPr>
        <w:t xml:space="preserve"> was added in v2.0 at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weight 8, and nothing rebalanced it, so a design evidencing everything reported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117% residual risk reduction. The weights above are a proportional rescale to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100 preserving the original order. This is a denominator change: coverage and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residual-risk figures computed against v6.1 and earlier are not comparable, and</w:t>
      </w:r>
    </w:p>
    <w:p>
      <w:pPr>
        <w:pBdr>
          <w:left w:val="single" w:color="1F3864" w:sz="12" w:space="10"/>
        </w:pBdr>
        <w:spacing w:after="1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control CE-6 requires the trend line to break here.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7. Posture — what holds when nobody is watching</w:t>
      </w:r>
    </w:p>
    <w:p>
      <w:pPr>
        <w:spacing w:after="130" w:line="278"/>
      </w:pPr>
      <w:r>
        <w:rPr>
          <w:rFonts w:ascii="Georgia" w:cs="Georgia" w:eastAsia="Georgia" w:hAnsi="Georgia"/>
          <w:i/>
          <w:iCs/>
          <w:sz w:val="21"/>
          <w:szCs w:val="21"/>
        </w:rPr>
        <w:t xml:space="preserve">Introduced in v5.0.</w:t>
      </w:r>
      <w:r>
        <w:rPr>
          <w:rFonts w:ascii="Georgia" w:cs="Georgia" w:eastAsia="Georgia" w:hAnsi="Georgia"/>
          <w:sz w:val="21"/>
          <w:szCs w:val="21"/>
        </w:rPr>
        <w:t xml:space="preserve"> The bands above — shaping, in contact, consolidation — describe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when</w:t>
      </w:r>
      <w:r>
        <w:rPr>
          <w:rFonts w:ascii="Georgia" w:cs="Georgia" w:eastAsia="Georgia" w:hAnsi="Georgia"/>
          <w:sz w:val="21"/>
          <w:szCs w:val="21"/>
        </w:rPr>
        <w:t xml:space="preserve"> a form does its work. Posture is orthogonal and answers a different question: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who initiates, and must a person be present for it to work?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6"/>
        <w:gridCol w:w="5924"/>
        <w:gridCol w:w="2370"/>
      </w:tblGrid>
      <w:tr>
        <w:trPr>
          <w:tblHeader/>
        </w:trPr>
        <w:tc>
          <w:tcPr>
            <w:tcW w:type="dxa" w:w="106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Posture</w:t>
            </w:r>
          </w:p>
        </w:tc>
        <w:tc>
          <w:tcPr>
            <w:tcW w:type="dxa" w:w="592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Definition</w:t>
            </w:r>
          </w:p>
        </w:tc>
        <w:tc>
          <w:tcPr>
            <w:tcW w:type="dxa" w:w="237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Under degraded tempo</w:t>
            </w:r>
          </w:p>
        </w:tc>
      </w:tr>
      <w:tr>
        <w:tc>
          <w:tcPr>
            <w:tcW w:type="dxa" w:w="106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Passive</w:t>
            </w:r>
          </w:p>
        </w:tc>
        <w:tc>
          <w:tcPr>
            <w:tcW w:type="dxa" w:w="592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Operates without human action once emplaced</w:t>
            </w:r>
          </w:p>
        </w:tc>
        <w:tc>
          <w:tcPr>
            <w:tcW w:type="dxa" w:w="23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Unchanged</w:t>
            </w:r>
          </w:p>
        </w:tc>
      </w:tr>
      <w:tr>
        <w:tc>
          <w:tcPr>
            <w:tcW w:type="dxa" w:w="106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Active</w:t>
            </w:r>
          </w:p>
        </w:tc>
        <w:tc>
          <w:tcPr>
            <w:tcW w:type="dxa" w:w="592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Defender-initiated, on the agency's own timeline</w:t>
            </w:r>
          </w:p>
        </w:tc>
        <w:tc>
          <w:tcPr>
            <w:tcW w:type="dxa" w:w="23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Deferred, not lost</w:t>
            </w:r>
          </w:p>
        </w:tc>
      </w:tr>
      <w:tr>
        <w:tc>
          <w:tcPr>
            <w:tcW w:type="dxa" w:w="106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Reactive</w:t>
            </w:r>
          </w:p>
        </w:tc>
        <w:tc>
          <w:tcPr>
            <w:tcW w:type="dxa" w:w="592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Triggered by adversary action, person in the loop under time pressure</w:t>
            </w:r>
          </w:p>
        </w:tc>
        <w:tc>
          <w:tcPr>
            <w:tcW w:type="dxa" w:w="23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Degrades</w:t>
            </w:r>
          </w:p>
        </w:tc>
      </w:tr>
      <w:tr>
        <w:tc>
          <w:tcPr>
            <w:tcW w:type="dxa" w:w="106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Directing</w:t>
            </w:r>
          </w:p>
        </w:tc>
        <w:tc>
          <w:tcPr>
            <w:tcW w:type="dxa" w:w="592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Sets the conditions the other three operate under</w:t>
            </w:r>
          </w:p>
        </w:tc>
        <w:tc>
          <w:tcPr>
            <w:tcW w:type="dxa" w:w="237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Why this matters operationally.</w:t>
      </w:r>
      <w:r>
        <w:rPr>
          <w:rFonts w:ascii="Georgia" w:cs="Georgia" w:eastAsia="Georgia" w:hAnsi="Georgia"/>
          <w:sz w:val="21"/>
          <w:szCs w:val="21"/>
        </w:rPr>
        <w:t xml:space="preserve"> Only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16 of 78 controls (22%)</w:t>
      </w:r>
      <w:r>
        <w:rPr>
          <w:rFonts w:ascii="Georgia" w:cs="Georgia" w:eastAsia="Georgia" w:hAnsi="Georgia"/>
          <w:sz w:val="21"/>
          <w:szCs w:val="21"/>
        </w:rPr>
        <w:t xml:space="preserve"> assure a defense that operates without a person. That is the proportion an adversary meets on a federal holiday, during a shift handover, through a hiring gap or across a contract transition — precisely the conditions control TA-5 requires an agency to identify, and precisely the windows adversaries select.</w:t>
      </w:r>
    </w:p>
    <w:p>
      <w:pPr>
        <w:spacing w:after="130" w:line="278"/>
      </w:pPr>
      <w:r>
        <w:rPr>
          <w:rFonts w:ascii="Consolas" w:cs="Consolas" w:eastAsia="Consolas" w:hAnsi="Consolas"/>
          <w:sz w:val="19"/>
          <w:szCs w:val="19"/>
        </w:rPr>
        <w:t xml:space="preserve">M2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M3</w:t>
      </w:r>
      <w:r>
        <w:rPr>
          <w:rFonts w:ascii="Georgia" w:cs="Georgia" w:eastAsia="Georgia" w:hAnsi="Georgia"/>
          <w:sz w:val="21"/>
          <w:szCs w:val="21"/>
        </w:rPr>
        <w:t xml:space="preserve"> and </w:t>
      </w:r>
      <w:r>
        <w:rPr>
          <w:rFonts w:ascii="Consolas" w:cs="Consolas" w:eastAsia="Consolas" w:hAnsi="Consolas"/>
          <w:sz w:val="19"/>
          <w:szCs w:val="19"/>
        </w:rPr>
        <w:t xml:space="preserve">M4</w:t>
      </w:r>
      <w:r>
        <w:rPr>
          <w:rFonts w:ascii="Georgia" w:cs="Georgia" w:eastAsia="Georgia" w:hAnsi="Georgia"/>
          <w:sz w:val="21"/>
          <w:szCs w:val="21"/>
        </w:rPr>
        <w:t xml:space="preserve"> are the passive spine. An agency under-invested in depth, envelopment and canalization has bought a defense that works only while somebody is watching. The recommended measure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passive coverage of decisive points</w:t>
      </w:r>
      <w:r>
        <w:rPr>
          <w:rFonts w:ascii="Georgia" w:cs="Georgia" w:eastAsia="Georgia" w:hAnsi="Georgia"/>
          <w:sz w:val="21"/>
          <w:szCs w:val="21"/>
        </w:rPr>
        <w:t xml:space="preserve">, because it is a resilience argument that does not depend on headcount.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8. Phasing the campaign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Phasing lets agency leadership see cyber defense as a campaign with a main effort per phase, rather than an undifferentiated round-the-clock grind.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97"/>
        <w:gridCol w:w="1397"/>
        <w:gridCol w:w="4610"/>
        <w:gridCol w:w="1956"/>
      </w:tblGrid>
      <w:tr>
        <w:trPr>
          <w:tblHeader/>
        </w:trPr>
        <w:tc>
          <w:tcPr>
            <w:tcW w:type="dxa" w:w="139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Phase</w:t>
            </w:r>
          </w:p>
        </w:tc>
        <w:tc>
          <w:tcPr>
            <w:tcW w:type="dxa" w:w="139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Objective</w:t>
            </w:r>
          </w:p>
        </w:tc>
        <w:tc>
          <w:tcPr>
            <w:tcW w:type="dxa" w:w="461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What it means operationally</w:t>
            </w:r>
          </w:p>
        </w:tc>
        <w:tc>
          <w:tcPr>
            <w:tcW w:type="dxa" w:w="195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Dominant forms</w:t>
            </w:r>
          </w:p>
        </w:tc>
      </w:tr>
      <w:tr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0 — Shape</w:t>
            </w:r>
          </w:p>
        </w:tc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Set conditions</w:t>
            </w:r>
          </w:p>
        </w:tc>
        <w:tc>
          <w:tcPr>
            <w:tcW w:type="dxa" w:w="461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Continuous preparation of the environment, zero-trust hardening, partnerships, threat intelligence</w:t>
            </w:r>
          </w:p>
        </w:tc>
        <w:tc>
          <w:tcPr>
            <w:tcW w:type="dxa" w:w="195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 · M2 · M3 · M9</w:t>
            </w:r>
          </w:p>
        </w:tc>
      </w:tr>
      <w:tr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 — Deter</w:t>
            </w:r>
          </w:p>
        </w:tc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Raise adversary cost</w:t>
            </w:r>
          </w:p>
        </w:tc>
        <w:tc>
          <w:tcPr>
            <w:tcW w:type="dxa" w:w="461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Visible hardening, a deception grid, a stated attribution posture</w:t>
            </w:r>
          </w:p>
        </w:tc>
        <w:tc>
          <w:tcPr>
            <w:tcW w:type="dxa" w:w="195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M3 · M4 · M5</w:t>
            </w:r>
          </w:p>
        </w:tc>
      </w:tr>
      <w:tr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II — Seize Initiative</w:t>
            </w:r>
          </w:p>
        </w:tc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Contest first contact</w:t>
            </w:r>
          </w:p>
        </w:tc>
        <w:tc>
          <w:tcPr>
            <w:tcW w:type="dxa" w:w="461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 early, canalize movement, buy decision time</w:t>
            </w:r>
          </w:p>
        </w:tc>
        <w:tc>
          <w:tcPr>
            <w:tcW w:type="dxa" w:w="195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 · M4 · M6</w:t>
            </w:r>
          </w:p>
        </w:tc>
      </w:tr>
      <w:tr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III — Dominate</w:t>
            </w:r>
          </w:p>
        </w:tc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Defeat the attempt</w:t>
            </w:r>
          </w:p>
        </w:tc>
        <w:tc>
          <w:tcPr>
            <w:tcW w:type="dxa" w:w="461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Hunt, contain, evict</w:t>
            </w:r>
          </w:p>
        </w:tc>
        <w:tc>
          <w:tcPr>
            <w:tcW w:type="dxa" w:w="195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M7 · M8 · M5</w:t>
            </w:r>
          </w:p>
        </w:tc>
      </w:tr>
      <w:tr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IV — Stabilize</w:t>
            </w:r>
          </w:p>
        </w:tc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Restore secure operations</w:t>
            </w:r>
          </w:p>
        </w:tc>
        <w:tc>
          <w:tcPr>
            <w:tcW w:type="dxa" w:w="461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Eradicate, verify, preserve availability through recovery</w:t>
            </w:r>
          </w:p>
        </w:tc>
        <w:tc>
          <w:tcPr>
            <w:tcW w:type="dxa" w:w="195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M8 · M10 · M11</w:t>
            </w:r>
          </w:p>
        </w:tc>
      </w:tr>
      <w:tr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V — Restore</w:t>
            </w:r>
          </w:p>
        </w:tc>
        <w:tc>
          <w:tcPr>
            <w:tcW w:type="dxa" w:w="139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Hand back to steady state</w:t>
            </w:r>
          </w:p>
        </w:tc>
        <w:tc>
          <w:tcPr>
            <w:tcW w:type="dxa" w:w="461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Recover, harden, update doctrine and intelligence requirements</w:t>
            </w:r>
          </w:p>
        </w:tc>
        <w:tc>
          <w:tcPr>
            <w:tcW w:type="dxa" w:w="195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M11 · M10 · M2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Declaration must change behavior.</w:t>
      </w:r>
      <w:r>
        <w:rPr>
          <w:rFonts w:ascii="Georgia" w:cs="Georgia" w:eastAsia="Georgia" w:hAnsi="Georgia"/>
          <w:sz w:val="21"/>
          <w:szCs w:val="21"/>
        </w:rPr>
        <w:t xml:space="preserve"> Control CG-2 requires at least one consequential control to be keyed to phase — pre-authorized response scope, session lifetime, or cycle cadence — and its assessment tests what materially changed at the last transition. A phase declaration that alters no authorization, no allocation and no configuration is a status field, not a campaign.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9. Roles, authority and rules of engagement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9.1 Roles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Six roles, all of them federal. There is no military structure in this model.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2139"/>
        <w:gridCol w:w="6401"/>
      </w:tblGrid>
      <w:tr>
        <w:trPr>
          <w:tblHeader/>
        </w:trPr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Code</w:t>
            </w:r>
          </w:p>
        </w:tc>
        <w:tc>
          <w:tcPr>
            <w:tcW w:type="dxa" w:w="213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Role</w:t>
            </w:r>
          </w:p>
        </w:tc>
        <w:tc>
          <w:tcPr>
            <w:tcW w:type="dxa" w:w="640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Owns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AO</w:t>
            </w:r>
          </w:p>
        </w:tc>
        <w:tc>
          <w:tcPr>
            <w:tcW w:type="dxa" w:w="21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Authorizing Official / CISO</w:t>
            </w:r>
          </w:p>
        </w:tc>
        <w:tc>
          <w:tcPr>
            <w:tcW w:type="dxa" w:w="640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Defensive intent, risk acceptance, the scheme of maneuver, phase declaration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CTI</w:t>
            </w:r>
          </w:p>
        </w:tc>
        <w:tc>
          <w:tcPr>
            <w:tcW w:type="dxa" w:w="21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Cyber threat intelligence function</w:t>
            </w:r>
          </w:p>
        </w:tc>
        <w:tc>
          <w:tcPr>
            <w:tcW w:type="dxa" w:w="640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FRAME, MAP and FUSE; priority cyber intelligence requirements; threat courses of action; confidence levels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SOC</w:t>
            </w:r>
          </w:p>
        </w:tc>
        <w:tc>
          <w:tcPr>
            <w:tcW w:type="dxa" w:w="21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Security operations</w:t>
            </w:r>
          </w:p>
        </w:tc>
        <w:tc>
          <w:tcPr>
            <w:tcW w:type="dxa" w:w="640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MANEUVER; execution of pre-authorized defensive actions; declaration and triage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HT</w:t>
            </w:r>
          </w:p>
        </w:tc>
        <w:tc>
          <w:tcPr>
            <w:tcW w:type="dxa" w:w="21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Hunt team</w:t>
            </w:r>
          </w:p>
        </w:tc>
        <w:tc>
          <w:tcPr>
            <w:tcW w:type="dxa" w:w="640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Hypothesis-driven hunting, engagement reconstruction, eradication verification, effectiveness validation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TO</w:t>
            </w:r>
          </w:p>
        </w:tc>
        <w:tc>
          <w:tcPr>
            <w:tcW w:type="dxa" w:w="21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Terrain owners — system, data and platform owners</w:t>
            </w:r>
          </w:p>
        </w:tc>
        <w:tc>
          <w:tcPr>
            <w:tcW w:type="dxa" w:w="640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Emplacing moves on their own ground; recovery objectives; asset ownership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GOV</w:t>
            </w:r>
          </w:p>
        </w:tc>
        <w:tc>
          <w:tcPr>
            <w:tcW w:type="dxa" w:w="21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Governance, RMF and ISSO function</w:t>
            </w:r>
          </w:p>
        </w:tc>
        <w:tc>
          <w:tcPr>
            <w:tcW w:type="dxa" w:w="640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Rules of engagement, findings disposition, control inheritance, obligation profile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Every control in the catalog carries a RACI against these six. Two assignments are deliberate and worth stating: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SM-6 effectiveness validation</w:t>
      </w:r>
      <w:r>
        <w:rPr>
          <w:rFonts w:ascii="Georgia" w:cs="Georgia" w:eastAsia="Georgia" w:hAnsi="Georgia"/>
          <w:sz w:val="21"/>
          <w:szCs w:val="21"/>
        </w:rPr>
        <w:t xml:space="preserve"> is the hunt team's rather than the terrain owner's, because the party that emplaced a move is the wrong party to certify it; and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WF-4 insider risk</w:t>
      </w:r>
      <w:r>
        <w:rPr>
          <w:rFonts w:ascii="Georgia" w:cs="Georgia" w:eastAsia="Georgia" w:hAnsi="Georgia"/>
          <w:sz w:val="21"/>
          <w:szCs w:val="21"/>
        </w:rPr>
        <w:t xml:space="preserve"> is governance's rather than the SOC's, because it is the one control where the operational instinct to investigate first is the wrong instinct.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9.2 Pre-authorized defensive actions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Define in advance which actions the SOC may execute without escalation — for example, revoking a session on confirmed account takeover — and which require the Authorizing Official, such as degrading a public service. This is the single highest-leverage and cheapest control in the framework, because it costs no technology: control TA-1's segment measurement typically shows the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decide</w:t>
      </w:r>
      <w:r>
        <w:rPr>
          <w:rFonts w:ascii="Georgia" w:cs="Georgia" w:eastAsia="Georgia" w:hAnsi="Georgia"/>
          <w:sz w:val="21"/>
          <w:szCs w:val="21"/>
        </w:rPr>
        <w:t xml:space="preserve"> segment dominating the decision loop, and decide latency is mostly the time spent locating somebody with authority.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Authorizations must be bounded by condition, scope and duration, and keyed to campaign phase. An authority so broad it permits degrading a public service without reference will not survive its first use; one so narrow that every real action falls outside it changes nothing.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9.3 Legal and statutory bounds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Rules of engagement carry a constraint the rest of the framework does not: some defensive actions have statutory consequences. Degrading a service where statute sets a deadline, or acting on a system holding regulated records, is not purely a security decision. Control FO-5 requires those availability floors to be identified, legally confirmed, and carried into the rules of engagement and the pre-authorized set, so an operator at three in the morning knows which degradations are unavailable. Control CG-3 requires the boundary limit — no action outside the agency's own authorization boundary — to be written rather than inferred.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10. Assessment — measuring advantage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10.1 Measures of performance — are we doing the maneuvers right?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Percentage of key terrain behind a policy enforcement point; deception coverage of the data layer; percentage of defensive actions pre-authorized; terrain-overlay freshness; priority intelligence requirements answered per cycle; percentage of decisive points meeting the protection floor.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10.2 Measures of effectiveness — are we winning?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signature metric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temporal advantage</w:t>
      </w:r>
      <w:r>
        <w:rPr>
          <w:rFonts w:ascii="Georgia" w:cs="Georgia" w:eastAsia="Georgia" w:hAnsi="Georgia"/>
          <w:sz w:val="21"/>
          <w:szCs w:val="21"/>
        </w:rPr>
        <w:t xml:space="preserve">: defender decision tempo — mean time to detect, decide and contain — measured against adversary dwell time. A cycle is won when temporal advantage is positive at the required confidence.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Supporting measures: positional advantage (share of attempts canalized into instrumented terrain; attempts stopped before the data layer); cost imposition (decoy interactions; forced re-tooling); resilience (incidents contained without loss of statutory availability); passive coverage of decisive points; and the ZTMM maturity vector per pillar per quarter.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10.3 Honesty conditions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Temporal advantage is offered as the signature metric precisely because, unlike a maturity score,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it can be lost</w:t>
      </w:r>
      <w:r>
        <w:rPr>
          <w:rFonts w:ascii="Georgia" w:cs="Georgia" w:eastAsia="Georgia" w:hAnsi="Georgia"/>
          <w:sz w:val="21"/>
          <w:szCs w:val="21"/>
        </w:rPr>
        <w:t xml:space="preserve">. A program can be well-governed, fully staffed and still behind. Three controls exist to stop the metric flattering its owner: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TA-1</w:t>
      </w:r>
      <w:r>
        <w:rPr>
          <w:rFonts w:ascii="Georgia" w:cs="Georgia" w:eastAsia="Georgia" w:hAnsi="Georgia"/>
          <w:sz w:val="21"/>
          <w:szCs w:val="21"/>
        </w:rPr>
        <w:t xml:space="preserve"> requires the loop to be measured in three segments — detect, decide, contain — because they fail for different reasons and the binding constraint is usually the middle one, which no detection investment shortens.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TA-2</w:t>
      </w:r>
      <w:r>
        <w:rPr>
          <w:rFonts w:ascii="Georgia" w:cs="Georgia" w:eastAsia="Georgia" w:hAnsi="Georgia"/>
          <w:sz w:val="21"/>
          <w:szCs w:val="21"/>
        </w:rPr>
        <w:t xml:space="preserve"> requires the adversary dwell estimate to carry its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stated bias</w:t>
      </w:r>
      <w:r>
        <w:rPr>
          <w:rFonts w:ascii="Georgia" w:cs="Georgia" w:eastAsia="Georgia" w:hAnsi="Georgia"/>
          <w:sz w:val="21"/>
          <w:szCs w:val="21"/>
        </w:rPr>
        <w:t xml:space="preserve">. Dwell is observable only in intrusions that were eventually found, which is a sample biased toward slow adversaries. The signature metric therefore rests half on measurement and half on a cited assumption, and that should be visible in the result rather than concealed inside a ratio.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•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TA-3</w:t>
      </w:r>
      <w:r>
        <w:rPr>
          <w:rFonts w:ascii="Georgia" w:cs="Georgia" w:eastAsia="Georgia" w:hAnsi="Georgia"/>
          <w:sz w:val="21"/>
          <w:szCs w:val="21"/>
        </w:rPr>
        <w:t xml:space="preserve"> requires the threshold's approval date to be recorded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relative to first measurement</w:t>
      </w:r>
      <w:r>
        <w:rPr>
          <w:rFonts w:ascii="Georgia" w:cs="Georgia" w:eastAsia="Georgia" w:hAnsi="Georgia"/>
          <w:sz w:val="21"/>
          <w:szCs w:val="21"/>
        </w:rPr>
        <w:t xml:space="preserve">. A threshold set after the first measurement will be set where the agency already passes, producing a governed-looking metric that has never once reported a problem.</w:t>
      </w:r>
    </w:p>
    <w:p>
      <w:pPr>
        <w:spacing w:after="7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11. Governance mapping — compliance as a by-product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ASOM-Fed outputs map onto federal obligations, so the agency earns compliance while actually defending.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8023"/>
      </w:tblGrid>
      <w:tr>
        <w:trPr>
          <w:tblHeader/>
        </w:trPr>
        <w:tc>
          <w:tcPr>
            <w:tcW w:type="dxa" w:w="133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Obligation</w:t>
            </w:r>
          </w:p>
        </w:tc>
        <w:tc>
          <w:tcPr>
            <w:tcW w:type="dxa" w:w="802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How ASOM-Fed satisfies it</w:t>
            </w:r>
          </w:p>
        </w:tc>
      </w:tr>
      <w:tr>
        <w:tc>
          <w:tcPr>
            <w:tcW w:type="dxa" w:w="13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NIST CSF 2.0</w:t>
            </w:r>
          </w:p>
        </w:tc>
        <w:tc>
          <w:tcPr>
            <w:tcW w:type="dxa" w:w="80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FRAME feeds Govern; CPE feeds Identify; M2–M4 and M8 feed Protect; M1, M5 and FUSE feed Detect; M6–M8 and the EN family feed Respond; M8, M10 and M11 feed Recover. 93 of 106 subcategories are covered; the remaining 13 are excluded on the record with stated reasons.</w:t>
            </w:r>
          </w:p>
        </w:tc>
      </w:tr>
      <w:tr>
        <w:tc>
          <w:tcPr>
            <w:tcW w:type="dxa" w:w="13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NIST RMF</w:t>
            </w:r>
          </w:p>
        </w:tc>
        <w:tc>
          <w:tcPr>
            <w:tcW w:type="dxa" w:w="80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terrain overlay informs Categorize and Select; maneuvers are Implement; FUSE and ASSESS constitute continuous Monitor and ongoing authorization.</w:t>
            </w:r>
          </w:p>
        </w:tc>
      </w:tr>
      <w:tr>
        <w:tc>
          <w:tcPr>
            <w:tcW w:type="dxa" w:w="13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SP 800-53 Rev. 5</w:t>
            </w:r>
          </w:p>
        </w:tc>
        <w:tc>
          <w:tcPr>
            <w:tcW w:type="dxa" w:w="80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Every control cites the baseline controls it inherits from. All twenty families are reached. CG-5 requires inheritance to be </w:t>
            </w: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verified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against the specific assessment cited, not asserted at family level.</w:t>
            </w:r>
          </w:p>
        </w:tc>
      </w:tr>
      <w:tr>
        <w:tc>
          <w:tcPr>
            <w:tcW w:type="dxa" w:w="13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FISMA</w:t>
            </w:r>
          </w:p>
        </w:tc>
        <w:tc>
          <w:tcPr>
            <w:tcW w:type="dxa" w:w="80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Cyber Running Estimate and the cycle Brief series become audit evidence of a functioning, continuously monitored program.</w:t>
            </w:r>
          </w:p>
        </w:tc>
      </w:tr>
      <w:tr>
        <w:tc>
          <w:tcPr>
            <w:tcW w:type="dxa" w:w="13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OMB M-22-09</w:t>
            </w:r>
          </w:p>
        </w:tc>
        <w:tc>
          <w:tcPr>
            <w:tcW w:type="dxa" w:w="80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ZTMM maturity vector is the zero-trust progress report.</w:t>
            </w:r>
          </w:p>
        </w:tc>
      </w:tr>
      <w:tr>
        <w:tc>
          <w:tcPr>
            <w:tcW w:type="dxa" w:w="133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Privacy and CUI</w:t>
            </w:r>
          </w:p>
        </w:tc>
        <w:tc>
          <w:tcPr>
            <w:tcW w:type="dxa" w:w="80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FO-1 and FO-2 place privacy terrain and controlled unclassified information on the overlay with the authority under which each is held.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Compliance is exhaust, not the objective.</w:t>
      </w:r>
      <w:r>
        <w:rPr>
          <w:rFonts w:ascii="Georgia" w:cs="Georgia" w:eastAsia="Georgia" w:hAnsi="Georgia"/>
          <w:sz w:val="21"/>
          <w:szCs w:val="21"/>
        </w:rPr>
        <w:t xml:space="preserve"> Because every control produces its evidence by being performed, the marginal assessment burden is low: the terrain overlay, asset register, findings list, posture computation and cycle history are generated rather than authored.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12. The control set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SP 800-53 Rev. 5 provides roughly 1,196 controls across twenty families and is the established language of federal control assessment. ASOM-Fed neither replaces nor duplicates it. What has never existed is an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assessable specification for the maneuver layer</w:t>
      </w:r>
      <w:r>
        <w:rPr>
          <w:rFonts w:ascii="Georgia" w:cs="Georgia" w:eastAsia="Georgia" w:hAnsi="Georgia"/>
          <w:sz w:val="21"/>
          <w:szCs w:val="21"/>
        </w:rPr>
        <w:t xml:space="preserve">: nothing in the baseline requires an agency to know its terrain, designate a main effort, measure its decision tempo, reconstruct an engagement, or prove it can perform a form of maneuver at all.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Seventy-eight controls across fourteen families fill that gap.</w:t>
      </w:r>
      <w:r>
        <w:rPr>
          <w:rFonts w:ascii="Georgia" w:cs="Georgia" w:eastAsia="Georgia" w:hAnsi="Georgia"/>
          <w:sz w:val="21"/>
          <w:szCs w:val="21"/>
        </w:rPr>
        <w:t xml:space="preserve"> Family prefixes are deliberately distinct from the twenty SP 800-53 identifiers so references remain unambiguous when both catalogs appear together.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1820"/>
        <w:gridCol w:w="820"/>
        <w:gridCol w:w="5900"/>
      </w:tblGrid>
      <w:tr>
        <w:trPr>
          <w:tblHeader/>
        </w:trPr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ID</w:t>
            </w:r>
          </w:p>
        </w:tc>
        <w:tc>
          <w:tcPr>
            <w:tcW w:type="dxa" w:w="1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Family</w:t>
            </w:r>
          </w:p>
        </w:tc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590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What it governs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TM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Terrain Management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Inventory, classification, weighting, zones, connections, currency, ownership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KT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 Terrain and Decisive Points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What must not be lost, and whether an adversary can reach it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ID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 Terrain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identity plane as ground: planes, credentials, assurance, assertions, authorization integrity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DV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Devices Terrain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entry fords: device identification, posture as an access precondition, sensor liveness, execution control, lifecycle and sanitization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SM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Scheme of Maneuver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Choosing moves, assigning them to ground, honest implementation states, deception emplacement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TA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Tempo and Temporal Advantage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Making speed of decision measurable, governed and pre-authorized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EN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Engagement and Pursuit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Declaration, triage, reconstruction, evidence, escalation, eradication, communication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CE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Cycle Execution and Assurance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Cadence, intelligence requirements, posture computation, the evidentiary record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CG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Command and Governance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Intent, phase, rules of engagement, findings disposition, inheritance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RC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Reconstitution and Recovery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Recovery held outside the blast radius and proven by exercise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FO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Federal Obligations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Terrain that exists because the organization is a federal one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WF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Workforce Terrain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people who operate the estate, held as ground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FC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Facilities Terrain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Buildings, zones, and the maintenance paths reaching through them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LC</w:t>
            </w:r>
          </w:p>
        </w:tc>
        <w:tc>
          <w:tcPr>
            <w:tcW w:type="dxa" w:w="1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Lines of Communication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59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Suppliers, components, and the routes they reach the estate on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Note on the `CG` family name.</w:t>
      </w:r>
      <w:r>
        <w:rPr>
          <w:rFonts w:ascii="Georgia" w:cs="Georgia" w:eastAsia="Georgia" w:hAnsi="Georgia"/>
          <w:sz w:val="20"/>
          <w:szCs w:val="20"/>
        </w:rPr>
        <w:t xml:space="preserve"> "Command and Governance" retains </w:t>
      </w:r>
      <w:r>
        <w:rPr>
          <w:rFonts w:ascii="Georgia" w:cs="Georgia" w:eastAsia="Georgia" w:hAnsi="Georgia"/>
          <w:i/>
          <w:iCs/>
          <w:sz w:val="20"/>
          <w:szCs w:val="20"/>
        </w:rPr>
        <w:t xml:space="preserve">command</w:t>
      </w:r>
      <w:r>
        <w:rPr>
          <w:rFonts w:ascii="Georgia" w:cs="Georgia" w:eastAsia="Georgia" w:hAnsi="Georgia"/>
          <w:sz w:val="20"/>
          <w:szCs w:val="20"/>
        </w:rPr>
        <w:t xml:space="preserve"> in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the sense the federal Incident Command System uses it — a defined decision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authority during an incident — not in a military sense. The family concerns the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Authorizing Official's intent, phase declaration, rules of engagement and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findings disposition. Agencies preferring "Direction and Governance" may rename</w:t>
      </w:r>
    </w:p>
    <w:p>
      <w:pPr>
        <w:pBdr>
          <w:left w:val="single" w:color="1F3864" w:sz="12" w:space="10"/>
        </w:pBdr>
        <w:spacing w:after="1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it locally; the </w:t>
      </w:r>
      <w:r>
        <w:rPr>
          <w:rFonts w:ascii="Consolas" w:cs="Consolas" w:eastAsia="Consolas" w:hAnsi="Consolas"/>
          <w:sz w:val="18"/>
          <w:szCs w:val="18"/>
        </w:rPr>
        <w:t xml:space="preserve">CG</w:t>
      </w:r>
      <w:r>
        <w:rPr>
          <w:rFonts w:ascii="Georgia" w:cs="Georgia" w:eastAsia="Georgia" w:hAnsi="Georgia"/>
          <w:sz w:val="20"/>
          <w:szCs w:val="20"/>
        </w:rPr>
        <w:t xml:space="preserve"> prefix and control IDs are stable either way.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Control depth.</w:t>
      </w:r>
      <w:r>
        <w:rPr>
          <w:rFonts w:ascii="Georgia" w:cs="Georgia" w:eastAsia="Georgia" w:hAnsi="Georgia"/>
          <w:sz w:val="21"/>
          <w:szCs w:val="21"/>
        </w:rPr>
        <w:t xml:space="preserve"> Each control carries a purpose, a goals cascade, a discussion of the failure mode it addresses,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capability-leveled activities graded 2 to 5</w:t>
      </w:r>
      <w:r>
        <w:rPr>
          <w:rFonts w:ascii="Georgia" w:cs="Georgia" w:eastAsia="Georgia" w:hAnsi="Georgia"/>
          <w:sz w:val="21"/>
          <w:szCs w:val="21"/>
        </w:rPr>
        <w:t xml:space="preserve">, a RACI, information flows, people and skills, policies, culture and behavior, services and infrastructure, metrics, mappings, evidence and an examine/interview/test procedure. There are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784 activities</w:t>
      </w:r>
      <w:r>
        <w:rPr>
          <w:rFonts w:ascii="Georgia" w:cs="Georgia" w:eastAsia="Georgia" w:hAnsi="Georgia"/>
          <w:sz w:val="21"/>
          <w:szCs w:val="21"/>
        </w:rPr>
        <w:t xml:space="preserve"> in total.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Assessed once, not twice.</w:t>
      </w:r>
      <w:r>
        <w:rPr>
          <w:rFonts w:ascii="Georgia" w:cs="Georgia" w:eastAsia="Georgia" w:hAnsi="Georgia"/>
          <w:sz w:val="21"/>
          <w:szCs w:val="21"/>
        </w:rPr>
        <w:t xml:space="preserve"> Every control declares whether it is inherited, extended or net new. Genuinely net new — assess in full: KT-1, KT-4, SM-3, SM-4, SM-7, the entire TA family, CE-4 and CE-6.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Where controls fail socially.</w:t>
      </w:r>
      <w:r>
        <w:rPr>
          <w:rFonts w:ascii="Georgia" w:cs="Georgia" w:eastAsia="Georgia" w:hAnsi="Georgia"/>
          <w:sz w:val="21"/>
          <w:szCs w:val="21"/>
        </w:rPr>
        <w:t xml:space="preserve"> Most controls in this catalog are defeated by incentive rather than technology, and each states how. SM-3 is defeated by optimistic self-declaration of implementation state; CG-4 by anonymous, permanent risk acceptance; TA-4 by second-guessing an operator who acted within written authority; WF-3 by sanctioning individuals for failing a phishing simulation, which trains concealment of real incidents.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13. Implementation roadmap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catalog is not intended to be adopted wholesale on day one. This sequence delivers assessable value at each step.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94"/>
        <w:gridCol w:w="1216"/>
        <w:gridCol w:w="972"/>
        <w:gridCol w:w="6078"/>
      </w:tblGrid>
      <w:tr>
        <w:trPr>
          <w:tblHeader/>
        </w:trPr>
        <w:tc>
          <w:tcPr>
            <w:tcW w:type="dxa" w:w="109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Step</w:t>
            </w:r>
          </w:p>
        </w:tc>
        <w:tc>
          <w:tcPr>
            <w:tcW w:type="dxa" w:w="121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Window</w:t>
            </w:r>
          </w:p>
        </w:tc>
        <w:tc>
          <w:tcPr>
            <w:tcW w:type="dxa" w:w="97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Controls</w:t>
            </w:r>
          </w:p>
        </w:tc>
        <w:tc>
          <w:tcPr>
            <w:tcW w:type="dxa" w:w="607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Exit criteria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Establish the ground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0–60 days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TM-1 … TM-7, CG-1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An authoritative, owned, weighted terrain overlay and a signed defensive intent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Name what matters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60–120 days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KT-1 … KT-5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Decisive points designated with justifications; reachability computed for the first time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Hold the high ground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2–5 months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ID-1 … ID-5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 planes and trust edges mapped; assurance matched to terrain; M3's indicator tested with a captured credential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Hold the fords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3–6 months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DV-1 … DV-5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Devices identified as terrain; posture enforced as an access precondition; sensor coverage and liveness measured rather than assumed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Array the defense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3–6 months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SM-1 … SM-7, CG-2, CG-3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Moves assigned to ground with honest implementation states; deception emplaced; approved rules of engagement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Achieve tempo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6–12 months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TA-1 … TA-5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Decision loop measured by segment; threshold approved and governed; response pre-authorized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Fight and pursue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6–12 months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EN-1 … EN-6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Declaration criteria; reconstruction before closure; evidence preserved against dwell; verified eradication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Run the loop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Continuous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CE-1 … CE-7, CG-4, CG-5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Cadenced cycles producing a trended, evidence-bearing record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Hold the wider ground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6–12 months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WF, FC, LC families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Workforce, facilities and supply-chain terrain on the overlay with access recorded</w:t>
            </w:r>
          </w:p>
        </w:tc>
      </w:tr>
      <w:tr>
        <w:tc>
          <w:tcPr>
            <w:tcW w:type="dxa" w:w="10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Prove you can come back</w:t>
            </w:r>
          </w:p>
        </w:tc>
        <w:tc>
          <w:tcPr>
            <w:tcW w:type="dxa" w:w="1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Continuous</w:t>
            </w:r>
          </w:p>
        </w:tc>
        <w:tc>
          <w:tcPr>
            <w:tcW w:type="dxa" w:w="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RC-1 … RC-5, FO-1 … FO-7</w:t>
            </w:r>
          </w:p>
        </w:tc>
        <w:tc>
          <w:tcPr>
            <w:tcW w:type="dxa" w:w="60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Recovery held outside the blast radius and demonstrated, against a declared obligation profile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Sequencing note.</w:t>
      </w:r>
      <w:r>
        <w:rPr>
          <w:rFonts w:ascii="Georgia" w:cs="Georgia" w:eastAsia="Georgia" w:hAnsi="Georgia"/>
          <w:sz w:val="21"/>
          <w:szCs w:val="21"/>
        </w:rPr>
        <w:t xml:space="preserve"> Identity moves early because everything downstream depends on it: KT-4 reachability computes over authorization paths, EN-5 eradication requires identity-plane revocation, and M3 is the usual main effort. An agency deferring the </w:t>
      </w:r>
      <w:r>
        <w:rPr>
          <w:rFonts w:ascii="Consolas" w:cs="Consolas" w:eastAsia="Consolas" w:hAnsi="Consolas"/>
          <w:sz w:val="19"/>
          <w:szCs w:val="19"/>
        </w:rPr>
        <w:t xml:space="preserve">ID</w:t>
      </w:r>
      <w:r>
        <w:rPr>
          <w:rFonts w:ascii="Georgia" w:cs="Georgia" w:eastAsia="Georgia" w:hAnsi="Georgia"/>
          <w:sz w:val="21"/>
          <w:szCs w:val="21"/>
        </w:rPr>
        <w:t xml:space="preserve"> family will find several later controls unassessable.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Success at eighteen months:</w:t>
      </w:r>
      <w:r>
        <w:rPr>
          <w:rFonts w:ascii="Georgia" w:cs="Georgia" w:eastAsia="Georgia" w:hAnsi="Georgia"/>
          <w:sz w:val="21"/>
          <w:szCs w:val="21"/>
        </w:rPr>
        <w:t xml:space="preserve"> measurable positive temporal advantage on the main effort; demonstrable to the agency Inspector General as continuous monitoring; a stated degraded posture; and a self-improving practice in which each engagement updates the terrain, the intelligence requirements and the maneuver catalog.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14. Why this is different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ASOM-Fed prioritizes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intent over tools</w:t>
      </w:r>
      <w:r>
        <w:rPr>
          <w:rFonts w:ascii="Georgia" w:cs="Georgia" w:eastAsia="Georgia" w:hAnsi="Georgia"/>
          <w:sz w:val="21"/>
          <w:szCs w:val="21"/>
        </w:rPr>
        <w:t xml:space="preserve">, so it survives tool churn and lets leadership direct without being engineers. It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intelligence-led</w:t>
      </w:r>
      <w:r>
        <w:rPr>
          <w:rFonts w:ascii="Georgia" w:cs="Georgia" w:eastAsia="Georgia" w:hAnsi="Georgia"/>
          <w:sz w:val="21"/>
          <w:szCs w:val="21"/>
        </w:rPr>
        <w:t xml:space="preserve">, so every maneuver is driven by analysis with explicit confidence rather than by alerts alone. It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terrain-anchored</w:t>
      </w:r>
      <w:r>
        <w:rPr>
          <w:rFonts w:ascii="Georgia" w:cs="Georgia" w:eastAsia="Georgia" w:hAnsi="Georgia"/>
          <w:sz w:val="21"/>
          <w:szCs w:val="21"/>
        </w:rPr>
        <w:t xml:space="preserve">, forcing prioritization onto what actually matters. It treats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compliance as exhaust</w:t>
      </w:r>
      <w:r>
        <w:rPr>
          <w:rFonts w:ascii="Georgia" w:cs="Georgia" w:eastAsia="Georgia" w:hAnsi="Georgia"/>
          <w:sz w:val="21"/>
          <w:szCs w:val="21"/>
        </w:rPr>
        <w:t xml:space="preserve">, satisfying FISMA, zero-trust and RMF obligations as a by-product of real defense. It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measurable</w:t>
      </w:r>
      <w:r>
        <w:rPr>
          <w:rFonts w:ascii="Georgia" w:cs="Georgia" w:eastAsia="Georgia" w:hAnsi="Georgia"/>
          <w:sz w:val="21"/>
          <w:szCs w:val="21"/>
        </w:rPr>
        <w:t xml:space="preserve"> through one honest scoreboard that can be lost. And it is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falsifiable</w:t>
      </w:r>
      <w:r>
        <w:rPr>
          <w:rFonts w:ascii="Georgia" w:cs="Georgia" w:eastAsia="Georgia" w:hAnsi="Georgia"/>
          <w:sz w:val="21"/>
          <w:szCs w:val="21"/>
        </w:rPr>
        <w:t xml:space="preserve">: every release has been scored against real architectures and against its own crosswalk, and the findings have repeatedly condemned the framework rather than the agencies.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15. The product suite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Each artifact is generated from one source, so they cannot disagree about what the framework contains.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1498"/>
        <w:gridCol w:w="1123"/>
        <w:gridCol w:w="5919"/>
      </w:tblGrid>
      <w:tr>
        <w:trPr>
          <w:tblHeader/>
        </w:trPr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tcW w:type="dxa" w:w="149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Artifact</w:t>
            </w:r>
          </w:p>
        </w:tc>
        <w:tc>
          <w:tcPr>
            <w:tcW w:type="dxa" w:w="112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Format</w:t>
            </w:r>
          </w:p>
        </w:tc>
        <w:tc>
          <w:tcPr>
            <w:tcW w:type="dxa" w:w="591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Role in the chain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ASOM-Fed Framework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Word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This document. The doctrine: why defense is a maneuver problem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Design and Philosophy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Word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Why the framework is shaped as it is, and the criteria for extending it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Application and Control Guide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Word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78 controls with activities, components, evidence, assessment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Defensive Maneuver Matrix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Word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11 forms, 154 techniques, 77 cells, and the controls assessing each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Asset Register and Tower Allocation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Word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Assets on terrain, defensive weight, mission bill of defense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Posture and Tower Model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Markdown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Which controls hold when nobody is watching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Control Catalog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CSV / JSON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Machine-readable, for GRC ingestion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Changelog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Markdown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Per-control version history, generated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Diagram Studio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HTML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working tool; the control set evaluates live against the drawing</w:t>
            </w:r>
          </w:p>
        </w:tc>
      </w:tr>
      <w:tr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</w:t>
            </w:r>
          </w:p>
        </w:tc>
        <w:tc>
          <w:tcPr>
            <w:tcW w:type="dxa" w:w="14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Brief</w:t>
            </w:r>
          </w:p>
        </w:tc>
        <w:tc>
          <w:tcPr>
            <w:tcW w:type="dxa" w:w="1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Generated</w:t>
            </w:r>
          </w:p>
        </w:tc>
        <w:tc>
          <w:tcPr>
            <w:tcW w:type="dxa" w:w="591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cycle record, citing the controls each section evidences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The chain in one line.</w:t>
      </w:r>
      <w:r>
        <w:rPr>
          <w:rFonts w:ascii="Georgia" w:cs="Georgia" w:eastAsia="Georgia" w:hAnsi="Georgia"/>
          <w:sz w:val="21"/>
          <w:szCs w:val="21"/>
        </w:rPr>
        <w:t xml:space="preserve"> Framework states why · Design and Philosophy states how it was built · Control Guide states what must be true · Studio does it · Brief proves it · cycle history proves it over time.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16. Version history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8"/>
        <w:gridCol w:w="8382"/>
      </w:tblGrid>
      <w:tr>
        <w:trPr>
          <w:tblHeader/>
        </w:trPr>
        <w:tc>
          <w:tcPr>
            <w:tcW w:type="dxa" w:w="97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Version</w:t>
            </w:r>
          </w:p>
        </w:tc>
        <w:tc>
          <w:tcPr>
            <w:tcW w:type="dxa" w:w="838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What changed and why</w:t>
            </w:r>
          </w:p>
        </w:tc>
      </w:tr>
      <w:tr>
        <w:tc>
          <w:tcPr>
            <w:tcW w:type="dxa" w:w="9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1.0</w:t>
            </w:r>
          </w:p>
        </w:tc>
        <w:tc>
          <w:tcPr>
            <w:tcW w:type="dxa" w:w="838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Initial release. 111 techniques, 35 controls across six families.</w:t>
            </w:r>
          </w:p>
        </w:tc>
      </w:tr>
      <w:tr>
        <w:tc>
          <w:tcPr>
            <w:tcW w:type="dxa" w:w="9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2.0</w:t>
            </w:r>
          </w:p>
        </w:tc>
        <w:tc>
          <w:tcPr>
            <w:tcW w:type="dxa" w:w="838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Scored against ten agency archetypes and failed its own test: no architecture could evidence M10 and Recover was empty. Added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T6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, the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and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FO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families, and obligation profiles.</w:t>
            </w:r>
          </w:p>
        </w:tc>
      </w:tr>
      <w:tr>
        <w:tc>
          <w:tcPr>
            <w:tcW w:type="dxa" w:w="9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3.0</w:t>
            </w:r>
          </w:p>
        </w:tc>
        <w:tc>
          <w:tcPr>
            <w:tcW w:type="dxa" w:w="838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Completeness test against the 800-53 crosswalk found AT, PS, PE and MA unreached — the framework modeled the machines, not the people, buildings or suppliers. Added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T8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T9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with the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WF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FC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and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LC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families and 25 techniques. No new forms required.</w:t>
            </w:r>
          </w:p>
        </w:tc>
      </w:tr>
      <w:tr>
        <w:tc>
          <w:tcPr>
            <w:tcW w:type="dxa" w:w="9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4.0</w:t>
            </w:r>
          </w:p>
        </w:tc>
        <w:tc>
          <w:tcPr>
            <w:tcW w:type="dxa" w:w="838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Depth. Every control rebuilt to a capability-leveled component model — 734 activities plus components, metrics and mappings. Build tooling introduced.</w:t>
            </w:r>
          </w:p>
        </w:tc>
      </w:tr>
      <w:tr>
        <w:tc>
          <w:tcPr>
            <w:tcW w:type="dxa" w:w="9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5.0</w:t>
            </w:r>
          </w:p>
        </w:tc>
        <w:tc>
          <w:tcPr>
            <w:tcW w:type="dxa" w:w="838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cited once across sixty controls on the declared high ground → the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family. Respond at 2 of 13 CSF outcomes → the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EN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family. D3FEND Deceive at zero controls →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SM-7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. Obligation profiles undeclarable →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FO-7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.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FO-6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narrowed after duplicating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LC-1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. Retired CSF 1.1 identifiers corrected. 60 → 78 controls.</w:t>
            </w:r>
          </w:p>
        </w:tc>
      </w:tr>
      <w:tr>
        <w:tc>
          <w:tcPr>
            <w:tcW w:type="dxa" w:w="97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5.1</w:t>
            </w:r>
          </w:p>
        </w:tc>
        <w:tc>
          <w:tcPr>
            <w:tcW w:type="dxa" w:w="838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Terminology audit: military organizational vocabulary removed throughout in favor of federal roles. This document rebuilt in full — its v3.0 predecessor stated sixty controls in prose while its adjacent table listed thirty-five, and its terrain table carried five of nine layers.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Denominator warning.</w:t>
      </w:r>
      <w:r>
        <w:rPr>
          <w:rFonts w:ascii="Georgia" w:cs="Georgia" w:eastAsia="Georgia" w:hAnsi="Georgia"/>
          <w:sz w:val="21"/>
          <w:szCs w:val="21"/>
        </w:rPr>
        <w:t xml:space="preserve"> Coverage scores computed against v4.0, v5.0 and v6.1 are not comparable to v6.1 scores — the roster grew and the risk weights were rebalanced. Control CE-6 requires the framework version to be recorded against every computed figure and the trend line to break visibly at the boundary.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17. Sources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Analytic and planning literature.</w:t>
      </w:r>
      <w:r>
        <w:rPr>
          <w:rFonts w:ascii="Georgia" w:cs="Georgia" w:eastAsia="Georgia" w:hAnsi="Georgia"/>
          <w:sz w:val="21"/>
          <w:szCs w:val="21"/>
        </w:rPr>
        <w:t xml:space="preserve"> Allen, "Cyber Maneuver and Schemes of Maneuver,"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The Cyber Defense Review</w:t>
      </w:r>
      <w:r>
        <w:rPr>
          <w:rFonts w:ascii="Georgia" w:cs="Georgia" w:eastAsia="Georgia" w:hAnsi="Georgia"/>
          <w:sz w:val="21"/>
          <w:szCs w:val="21"/>
        </w:rPr>
        <w:t xml:space="preserve">, Vol. 5 No. 3 (2020) — source of the positional and temporal advantage definition and the durability-of-categories argument. ATP 2-33.4,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Intelligence Analysis</w:t>
      </w:r>
      <w:r>
        <w:rPr>
          <w:rFonts w:ascii="Georgia" w:cs="Georgia" w:eastAsia="Georgia" w:hAnsi="Georgia"/>
          <w:sz w:val="21"/>
          <w:szCs w:val="21"/>
        </w:rPr>
        <w:t xml:space="preserve"> (2020) — source of the Screen → Analyze → Integrate → Produce process, structured analytic techniques, preparation of the environment, and confidence levels. Concepts are adopted; organizational structure is not.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Federal frameworks.</w:t>
      </w:r>
      <w:r>
        <w:rPr>
          <w:rFonts w:ascii="Georgia" w:cs="Georgia" w:eastAsia="Georgia" w:hAnsi="Georgia"/>
          <w:sz w:val="21"/>
          <w:szCs w:val="21"/>
        </w:rPr>
        <w:t xml:space="preserve"> NIST SP 800-53 Rev. 5 (20 families, ~1,196 controls); NIST SP 800-53A (assessment procedures); NIST SP 800-53B (baselines); NIST SP 800-37 Rev. 2 (RMF); NIST CSF 2.0 (6 functions, 22 categories, 106 subcategories); CISA Zero Trust Maturity Model v2.0; NIST SP 800-207; CISA TIC 3.0 Program Guidebook; FISMA; OMB M-22-09.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Structural models.</w:t>
      </w:r>
      <w:r>
        <w:rPr>
          <w:rFonts w:ascii="Georgia" w:cs="Georgia" w:eastAsia="Georgia" w:hAnsi="Georgia"/>
          <w:sz w:val="21"/>
          <w:szCs w:val="21"/>
        </w:rPr>
        <w:t xml:space="preserve"> ISACA COBIT 2019 — the component model and capability levels used for control depth. MITRE ATT&amp;CK — the matrix layout convention. MITRE D3FEND — defensive countermeasure reference. TBM Council Technology Business Management Taxonomy — the allocation model mirrored by the Defense Tower Model. Structure only; no text from these works is reproduced.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Federal Reference Agency archetype.</w:t>
      </w:r>
      <w:r>
        <w:rPr>
          <w:rFonts w:ascii="Georgia" w:cs="Georgia" w:eastAsia="Georgia" w:hAnsi="Georgia"/>
          <w:sz w:val="21"/>
          <w:szCs w:val="21"/>
        </w:rPr>
        <w:t xml:space="preserve"> A generic public-facing U.S. civilian agency: public service portals, internal case-processing systems, sensitive mission records with PII and financial data, public open-data APIs, a cloud-forward multi-VPC estate delivered through modern software practice, ICAM and zero-trust adoption under OMB M-22-09, and FISMA governance with annual Inspector General audits. Any agency adopts the framework by substituting its own systems into this archetype.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i/>
          <w:iCs/>
          <w:sz w:val="21"/>
          <w:szCs w:val="21"/>
        </w:rPr>
        <w:t xml:space="preserve">Prepared as an original synthesis. Unclassified and illustrative; built from public sources only; contains no agency-specific information. ATT&amp;CK® and D3FEND™ are trademarks of The MITRE Corporation and COBIT® is a trademark of ISACA; neither organization endorses this framework.</w:t>
      </w:r>
    </w:p>
    <w:sectPr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88888"/>
        <w:sz w:val="16"/>
        <w:szCs w:val="16"/>
      </w:rPr>
      <w:t xml:space="preserve">ASOM-Fed  ·  v6.1  · 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ASOM-Fed</dc:title>
  <dc:creator>threatDefendr</dc:creator>
  <dc:description>The Analytic Scheme of Maneuver for Federal Network Defense</dc:description>
  <cp:lastModifiedBy>Un-named</cp:lastModifiedBy>
  <cp:revision>1</cp:revision>
  <dcterms:created xsi:type="dcterms:W3CDTF">2026-08-10T14:27:35.055Z</dcterms:created>
  <dcterms:modified xsi:type="dcterms:W3CDTF">2026-08-10T14:27:35.055Z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